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关于对部分医疗设备进行市场调研的公告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1953E0D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hAnsi="Times New Roman" w:eastAsia="仿宋" w:cs="仿宋"/>
          <w:b w:val="0"/>
          <w:bCs w:val="0"/>
          <w:color w:val="auto"/>
          <w:kern w:val="2"/>
          <w:sz w:val="32"/>
          <w:szCs w:val="32"/>
          <w:lang w:val="en-US" w:eastAsia="zh-CN" w:bidi="ar-SA"/>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w:t>
      </w:r>
      <w:r>
        <w:rPr>
          <w:rFonts w:hint="eastAsia" w:ascii="仿宋" w:eastAsia="仿宋" w:cs="仿宋"/>
          <w:b w:val="0"/>
          <w:bCs w:val="0"/>
          <w:color w:val="auto"/>
          <w:kern w:val="2"/>
          <w:sz w:val="32"/>
          <w:szCs w:val="32"/>
          <w:lang w:val="en-US" w:eastAsia="zh-CN" w:bidi="ar-SA"/>
        </w:rPr>
        <w:t>2</w:t>
      </w:r>
      <w:r>
        <w:rPr>
          <w:rFonts w:hint="eastAsia" w:ascii="仿宋" w:hAnsi="Times New Roman" w:eastAsia="仿宋" w:cs="仿宋"/>
          <w:b w:val="0"/>
          <w:bCs w:val="0"/>
          <w:color w:val="auto"/>
          <w:kern w:val="2"/>
          <w:sz w:val="32"/>
          <w:szCs w:val="32"/>
          <w:lang w:val="en-US" w:eastAsia="zh-CN" w:bidi="ar-SA"/>
        </w:rPr>
        <w:t>@126.com。</w:t>
      </w:r>
      <w:r>
        <w:rPr>
          <w:rFonts w:hint="eastAsia" w:ascii="仿宋" w:hAnsi="Times New Roman" w:eastAsia="仿宋" w:cs="仿宋"/>
          <w:b w:val="0"/>
          <w:bCs w:val="0"/>
          <w:color w:val="auto"/>
          <w:kern w:val="2"/>
          <w:sz w:val="32"/>
          <w:szCs w:val="32"/>
          <w:lang w:val="en-US" w:eastAsia="zh-CN" w:bidi="ar-SA"/>
        </w:rPr>
        <w:fldChar w:fldCharType="end"/>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9</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4</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器械科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9</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2</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1455"/>
        <w:gridCol w:w="735"/>
        <w:gridCol w:w="547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项目编号</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设备名称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数量</w:t>
            </w:r>
          </w:p>
        </w:tc>
        <w:tc>
          <w:tcPr>
            <w:tcW w:w="5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功能需求</w:t>
            </w:r>
          </w:p>
        </w:tc>
      </w:tr>
      <w:tr w14:paraId="6760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4"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D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A5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微波治疗仪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3996">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F40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一、诊疗项目：微波治疗。</w:t>
            </w:r>
          </w:p>
          <w:p w14:paraId="5302C3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二、适用范围：1:丹毒、蜂窝织炎、乳腺炎的炎症吸收期、软组织扭伤恢复期、肌纤维织炎、棘间韧带损伤、肩关节周围炎、肱骨外上髁炎、术后伤口愈合迟缓、慢性溃疡、压疮、烧伤、冻伤。</w:t>
            </w:r>
          </w:p>
          <w:p w14:paraId="57935B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三、基本功能要求：1.立式结构，微电脑控制、双微波源；</w:t>
            </w:r>
          </w:p>
          <w:p w14:paraId="164F2A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2.工作频率：2450MHz±30MHz</w:t>
            </w:r>
          </w:p>
          <w:p w14:paraId="580384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3.工作模式：理疗模式；</w:t>
            </w:r>
          </w:p>
          <w:p w14:paraId="667D09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4.输出方式：脉冲波；连续波；</w:t>
            </w:r>
          </w:p>
          <w:p w14:paraId="75EC06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5.设备界面上可以查看所有通道的运行状态；</w:t>
            </w:r>
          </w:p>
          <w:p w14:paraId="7E524E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6.治疗结束后，机器有明显的蜂鸣器提醒；</w:t>
            </w:r>
          </w:p>
        </w:tc>
      </w:tr>
      <w:tr w14:paraId="21755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A634">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164C">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立体动态干扰电治疗仪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2682">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73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一、诊疗项目：电刺激治疗仪</w:t>
            </w:r>
          </w:p>
          <w:p w14:paraId="74BFF7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二、适用范围：具有镇痛、锻炼肌肉、促进血液循环、软化瘢痕松懈粘连的作用</w:t>
            </w:r>
          </w:p>
          <w:p w14:paraId="2A26C8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0651E7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1.双路三维干涉波，可同时连接≥12个吸附电极输出；</w:t>
            </w:r>
          </w:p>
          <w:p w14:paraId="7B2240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2.吸引模式：连续模式、脉冲模式和自动模式，可模拟拔罐、按摩等。</w:t>
            </w:r>
          </w:p>
          <w:p w14:paraId="5219DD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3.顶板自动加热功能；</w:t>
            </w:r>
          </w:p>
          <w:p w14:paraId="012129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4.输出频率（基频）可调节； </w:t>
            </w:r>
          </w:p>
          <w:p w14:paraId="106C79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5.干涉波差频频率1~120Hz； </w:t>
            </w:r>
          </w:p>
          <w:p w14:paraId="1DE41A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6.≥4种干涉模式可调节；</w:t>
            </w:r>
          </w:p>
          <w:p w14:paraId="5A759B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7.≥5种向量可调节；</w:t>
            </w:r>
          </w:p>
          <w:p w14:paraId="712F52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8.≥4种扫引时间可调节；</w:t>
            </w:r>
          </w:p>
          <w:p w14:paraId="7012AD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9.≥5种调制模式，需要具备巴斯特模式；</w:t>
            </w:r>
          </w:p>
          <w:p w14:paraId="25AD8B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10.≥4种治疗模式可调节； </w:t>
            </w:r>
          </w:p>
          <w:p w14:paraId="26544406">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11.多重安全保护：过电流保护、过电压保护、断路保护、顶板加热双重温度保护。</w:t>
            </w:r>
          </w:p>
        </w:tc>
      </w:tr>
      <w:tr w14:paraId="5910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8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D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短波紫外线治疗仪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C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FF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一、诊疗项目：紫外线照射治疗</w:t>
            </w:r>
          </w:p>
          <w:p w14:paraId="2FD520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二、适用范围：创面杀菌、消炎、镇痛、促进伤口愈合、咽炎，口腔黏膜炎等</w:t>
            </w:r>
          </w:p>
          <w:p w14:paraId="71BA0D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DC370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1.光源纯度稳定：253.7纳米的短波紫外线波段500小时以上纯度能达到90%；</w:t>
            </w:r>
          </w:p>
          <w:p w14:paraId="291935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2.照射器和导子样式多种性，能满足不同病症需要；</w:t>
            </w:r>
          </w:p>
          <w:p w14:paraId="53750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3.具有自动散热功能；</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半导体激光治疗仪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2DA6">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一、诊疗项目：激光治疗</w:t>
            </w:r>
          </w:p>
          <w:p w14:paraId="1CF48FFA">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二、适用范围：适用于体表的局部照射辅助治疗、消炎、缓解疼痛。</w:t>
            </w:r>
          </w:p>
          <w:p w14:paraId="325EC28F">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三、基本功能要求：1.椎管外因素所致的神经关节疼痛、肌肉疼痛、后遗神经痛等各类疼痛的治疗；</w:t>
            </w:r>
          </w:p>
          <w:p w14:paraId="2B764621">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2.盆腔炎、炎性皮肤病、带状疱疹、肠炎、痤疮、肩周炎、跖筋膜炎等各类炎症的治疗；</w:t>
            </w:r>
          </w:p>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3.甲癣、四肢骨折、腰肌劳损等的辅助治疗。四、双路输出，均为大盘，不要光导。</w:t>
            </w:r>
          </w:p>
        </w:tc>
      </w:tr>
      <w:tr w14:paraId="3D2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2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7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超短波治疗机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B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BA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一、诊疗项目：超短波治疗。</w:t>
            </w:r>
          </w:p>
          <w:p w14:paraId="463AAB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二、适用范围：1.急慢性炎症：软组织、呼吸、消化、泌尿生殖系统各类急慢性炎症；</w:t>
            </w:r>
          </w:p>
          <w:p w14:paraId="2F91FA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2.损伤类病症：软组织扭挫伤、术后肿胀、骨折愈合不良、创面修复不佳等；</w:t>
            </w:r>
          </w:p>
          <w:p w14:paraId="03A564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3.疼痛类病症：颈肩腰腿痛、关节炎、神经痛、肌肉劳损等；</w:t>
            </w:r>
          </w:p>
          <w:p w14:paraId="03E192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4.其他：胃肠痉挛、关节积液、周围神经损伤等辅助理疗。</w:t>
            </w:r>
          </w:p>
          <w:p w14:paraId="336BD5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三、基本功能要求：1.采用40.68MHz医用频段，具备连续波、脉冲波两种基础输出模式，输出功率分级连续可调，输出稳定无波动；</w:t>
            </w:r>
          </w:p>
          <w:p w14:paraId="6A3663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2.定时可调，定时结束自动停止输出并声光提醒，支持暂停、重启计时；</w:t>
            </w:r>
          </w:p>
          <w:p w14:paraId="5878ED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3.按键操作简洁，具备故障自检与异常声光报警功能；</w:t>
            </w:r>
          </w:p>
          <w:p w14:paraId="667C31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4.配套多规格治疗电极，适配人体多部位治疗，电极绝缘安全，连接稳固；</w:t>
            </w:r>
          </w:p>
          <w:p w14:paraId="45BF49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5.具备过流、过载、过热、短路多重保护，运行稳定，无安全隐患。</w:t>
            </w:r>
          </w:p>
        </w:tc>
      </w:tr>
      <w:tr w14:paraId="4E8B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1"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10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E20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电脑中频电疗机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0F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91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一、诊疗项目：电刺激治疗</w:t>
            </w:r>
          </w:p>
          <w:p w14:paraId="45B194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二、适用范围：用于兴奋神经肌肉组织、软化瘢痕、松解粘连，具有镇痛、促进炎症消散、改善局部血液循环的作用。</w:t>
            </w:r>
          </w:p>
          <w:p w14:paraId="7151EB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三、基本功能要求：1.输出通道数：四通道，双极中频输出四路，脉动直流输出四路，干扰电输出两路；</w:t>
            </w:r>
          </w:p>
          <w:p w14:paraId="734AC2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2.治疗处方数：内置≥30种治疗处方；</w:t>
            </w:r>
          </w:p>
          <w:p w14:paraId="529FFD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3.治疗时间：0min～30min可调，步进1min，允差±5%；</w:t>
            </w:r>
          </w:p>
          <w:p w14:paraId="313CD7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4.工作频率：基波工作频率为1kHz～10kHz，允差±10%；</w:t>
            </w:r>
          </w:p>
          <w:p w14:paraId="488A78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5.调制波形：正弦波、方波、三角波、锯齿波、指数波、梯形波、尖波、等幅波。</w:t>
            </w:r>
          </w:p>
        </w:tc>
      </w:tr>
      <w:tr w14:paraId="1773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6C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B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红外偏振光治疗仪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A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2D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一、诊疗项目：红外偏振光治疗仪</w:t>
            </w:r>
          </w:p>
          <w:p w14:paraId="3BCE4A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二、适用范围：带状疱疹后神经痛、神经根痛、软组织扭伤挫伤恢复期的治疗和辅助治疗。</w:t>
            </w:r>
          </w:p>
          <w:p w14:paraId="5AD164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46A234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1.具有双路治疗臂独立输出，具有双窗口同时独立显示，双路治疗独立控制操作；</w:t>
            </w:r>
          </w:p>
          <w:p w14:paraId="2ED178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2.治疗臂关节使用万向节，可360°旋转定位至治疗部位； </w:t>
            </w:r>
          </w:p>
          <w:p w14:paraId="286099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3.导光系统材料采用高精度的石英光棒导光；</w:t>
            </w:r>
          </w:p>
          <w:p w14:paraId="19AED0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4.集射式照射头输出光谱范围0.7μm～1.6μm；</w:t>
            </w:r>
          </w:p>
          <w:p w14:paraId="18B5EB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5.具有连续及间歇输出模式。</w:t>
            </w:r>
          </w:p>
          <w:p w14:paraId="3FEBE9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6.每路输出可单独切换小盘与光导。</w:t>
            </w:r>
          </w:p>
          <w:p w14:paraId="533EC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7.不要靶灯。</w:t>
            </w:r>
          </w:p>
        </w:tc>
      </w:tr>
      <w:tr w14:paraId="0A38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1"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87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D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功能磁刺激工作站</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0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7A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一、诊疗项目：磁疗、激光治疗(理疗)</w:t>
            </w:r>
          </w:p>
          <w:p w14:paraId="57993C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二、适用范围：体表治疗软组织损伤，颈肩关节疼痛、外伤血肿等。</w:t>
            </w:r>
          </w:p>
          <w:p w14:paraId="272CB1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77BFEB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1.磁感应强度：磁场强度≥3800mT；</w:t>
            </w:r>
          </w:p>
          <w:p w14:paraId="059318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2.冷却技术：工作磁头液态冷却；开机即有风冷；</w:t>
            </w:r>
          </w:p>
          <w:p w14:paraId="4EFCFC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3.三段式液压支臂设计，支臂可承重量≥30N的拉力，支臂360度旋转，治疗头180度旋转定位可调；</w:t>
            </w:r>
          </w:p>
          <w:p w14:paraId="263694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4.主机具有一键急停安全保护装置；配备钥匙开关，一键锁机，防止误操作；</w:t>
            </w:r>
          </w:p>
          <w:p w14:paraId="558232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5.激光波长：≥650nm，误差为±5%；</w:t>
            </w:r>
          </w:p>
          <w:p w14:paraId="72C9A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6.激光功率：≥3.5mW，误差为±20%。</w:t>
            </w:r>
          </w:p>
        </w:tc>
      </w:tr>
      <w:tr w14:paraId="6847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9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2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聚焦超声波治疗仪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E0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48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p>
          <w:p w14:paraId="51CFA9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二、适用范围：颈肩部、腰腹部和四肢部位慢性软组织损伤性疼痛的治疗</w:t>
            </w:r>
          </w:p>
          <w:p w14:paraId="299127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7C5AF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1.波束类型：会聚型；</w:t>
            </w:r>
          </w:p>
          <w:p w14:paraId="03445C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2.采用低强度聚焦脉冲超声技术；</w:t>
            </w:r>
          </w:p>
          <w:p w14:paraId="44911A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3.仪器治疗头可满足深部及浅部组织治疗。</w:t>
            </w:r>
          </w:p>
        </w:tc>
      </w:tr>
      <w:tr w14:paraId="41CC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D48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F6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超声治疗仪（聚焦式）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66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6F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p>
          <w:p w14:paraId="57B403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二、适用范围：颈肩部、腰腹部和四肢部位慢性软组织损伤性疼痛的治疗</w:t>
            </w:r>
          </w:p>
          <w:p w14:paraId="4E7311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3ECD9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1.波束类型：会聚型；</w:t>
            </w:r>
          </w:p>
          <w:p w14:paraId="5D4DB7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2.采用低强度聚焦脉冲超声技术；</w:t>
            </w:r>
          </w:p>
          <w:p w14:paraId="4CC7DA1D">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3.超声治疗头主机集成一体机，便携式。</w:t>
            </w:r>
          </w:p>
        </w:tc>
      </w:tr>
      <w:tr w14:paraId="2E39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AB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4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光谱热疗仪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B8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43B6">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一、诊疗项目：水滤红外光波治疗、光谱热疗、可见光治疗、红外线治疗</w:t>
            </w:r>
          </w:p>
          <w:p w14:paraId="2E15CD47">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二、适用范围：</w:t>
            </w:r>
          </w:p>
          <w:p w14:paraId="4A248353">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1.软组织损伤与运动医学：急性或慢性肌肉拉伤、挫伤、关节扭伤、滑膜炎、腰颈椎压迫症状及急性发作期疼痛；</w:t>
            </w:r>
          </w:p>
          <w:p w14:paraId="07A94E64">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2.慢性炎症与疼痛管理：骨关节：关节炎、关节腔积液、致密性髂骨炎；</w:t>
            </w:r>
          </w:p>
          <w:p w14:paraId="0CA8FB1D">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3.周围神经：急性期带状疱疹及其后遗神经痛；</w:t>
            </w:r>
          </w:p>
          <w:p w14:paraId="3A8A9E8B">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4.内脏深部炎症：前列腺炎、盆腔炎、附件炎、慢性鼻窦炎及支气管炎等。</w:t>
            </w:r>
          </w:p>
          <w:p w14:paraId="7A174B0F">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三、基本功能要求：</w:t>
            </w:r>
          </w:p>
          <w:p w14:paraId="5140E71F">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1.采用水过滤系统；</w:t>
            </w:r>
          </w:p>
          <w:p w14:paraId="45C385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2.光束穿透深度需达到皮下15cm以上；</w:t>
            </w:r>
          </w:p>
          <w:p w14:paraId="34C32532">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3.照射时组织内部温度需恒定于41℃左右；</w:t>
            </w:r>
          </w:p>
          <w:p w14:paraId="19FFA1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4.可以连续输出、可照头面部。</w:t>
            </w:r>
          </w:p>
        </w:tc>
      </w:tr>
      <w:tr w14:paraId="124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DD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D6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中号火罐</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5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C9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一、诊疗项目：中医走罐、中医刮痧、悬空灸</w:t>
            </w:r>
          </w:p>
          <w:p w14:paraId="45BA38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二、适用范围：1.脊柱与骨关节疾病：颈椎病、腰椎间盘突出症、强直性脊柱炎、肩周炎、急性腰扭伤、老寒腿等；</w:t>
            </w:r>
          </w:p>
          <w:p w14:paraId="4FAB78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2.消化系统问题：便秘、便溏、腹胀、消化不良、胃寒腹泻等；</w:t>
            </w:r>
          </w:p>
          <w:p w14:paraId="0B994F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3.妇科疾病：月经不调、痛经、宫寒、子宫肌瘤、盆腔积液等；</w:t>
            </w:r>
          </w:p>
          <w:p w14:paraId="5F3B42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4.神经系统与循环系统问题：中风后遗症、糖尿病微循环障碍导致的酸麻胀痛、心脑供血不足等；</w:t>
            </w:r>
          </w:p>
          <w:p w14:paraId="3E60F2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5.康复调理：外伤骨折愈合后的水肿、术后肢体功能恢复等。</w:t>
            </w:r>
          </w:p>
          <w:p w14:paraId="4C6F5F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三、基本功能要求：1.火罐罐体由陶瓷泥+砭石粉经过高温烧制而成，罐体通身光滑，中空罐体，罐体内外有釉面；外层有硅胶防护套，多层罐体保温更持久。需具备良好导热性与透气性；</w:t>
            </w:r>
          </w:p>
          <w:p w14:paraId="0A8B8A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2.罐口的设计需紧密贴合体表不同部位；</w:t>
            </w:r>
          </w:p>
          <w:p w14:paraId="138AE0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3.杯身设计有通风孔；</w:t>
            </w:r>
          </w:p>
          <w:p w14:paraId="765F20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4.罐体底部有艾柱固定装置；</w:t>
            </w:r>
          </w:p>
          <w:p w14:paraId="1D3A20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5.罐体有高密度隔灰网，要求拿取方便；</w:t>
            </w:r>
          </w:p>
          <w:p w14:paraId="260AA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6.罐口光滑无毛刺，罐体耐热性强，可承受持续高温而不破裂、不变形，走罐顺滑不卡顿，无明火外溢风险。</w:t>
            </w:r>
          </w:p>
        </w:tc>
      </w:tr>
      <w:tr w14:paraId="09F8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7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A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电子针疗仪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3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FA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一、诊疗项目：常规针法</w:t>
            </w:r>
          </w:p>
          <w:p w14:paraId="267227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二、适用范围：1.脊柱与骨关节疾病：颈椎病、腰椎间盘突出症、强直性脊柱炎、肩周炎、急性腰扭伤、老寒腿等；</w:t>
            </w:r>
          </w:p>
          <w:p w14:paraId="5A5C2B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2.消化系统问题：便秘、便溏、腹胀、消化不良、胃寒腹泻等；</w:t>
            </w:r>
          </w:p>
          <w:p w14:paraId="652512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3.康复调理：外伤骨折愈合后的水肿、术后肢体功能恢复等。</w:t>
            </w:r>
          </w:p>
          <w:p w14:paraId="6E1E64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三、基本功能要求：1.多波形输出：连续波、断续波、疏密波，适配不同病症（如镇痛、解痉、促循环）；</w:t>
            </w:r>
          </w:p>
          <w:p w14:paraId="556CA6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2.频率、强度可调，≥6路独立输出，可多穴位同时治疗；</w:t>
            </w:r>
          </w:p>
          <w:p w14:paraId="5289D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3.治疗时间可调，时间到自动停机。</w:t>
            </w:r>
          </w:p>
        </w:tc>
      </w:tr>
      <w:tr w14:paraId="292C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23B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98D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电动起立床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CC2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3C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一、诊疗项目：康复医学科站立功能障碍患者康复训练</w:t>
            </w:r>
          </w:p>
          <w:p w14:paraId="3654BB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二、适用范围：神经康复科、康复医学科，用于脑卒中、脊髓损伤、脑瘫等导致站立功能障碍的患者，进行站立训练、体位适应性训练</w:t>
            </w:r>
          </w:p>
          <w:p w14:paraId="0956CF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0C3054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具备电动起立功能，可实现0-90度范围内的角度无级调节，平稳完成患者从卧位到站立位的体位转换</w:t>
            </w:r>
          </w:p>
          <w:p w14:paraId="4CE985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配备多点式安全约束带，可固定患者胸部、髋部、腿部，确保训练过程中的安全性，防止患者倾倒</w:t>
            </w:r>
          </w:p>
          <w:p w14:paraId="3AA609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床板采用高强度材质，承重能力符合医疗标准，可适配不同体重的患者</w:t>
            </w:r>
          </w:p>
          <w:p w14:paraId="01DB62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具备急停功能，可在紧急情况下立即停止起立动作，保障患者安全</w:t>
            </w:r>
          </w:p>
          <w:p w14:paraId="19D06A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可配备手部扶手、下肢托举等辅助结构，适配不同患者的康复需求</w:t>
            </w:r>
          </w:p>
          <w:p w14:paraId="701F2D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具备体位记忆功能，可保存常用训练角度，方便快速调用</w:t>
            </w:r>
          </w:p>
        </w:tc>
      </w:tr>
      <w:tr w14:paraId="18BF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F25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9F4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上下肢主被动训练机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66FE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655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一、诊疗项目：康复医学科上下肢运动功能障碍患者康复训练</w:t>
            </w:r>
          </w:p>
          <w:p w14:paraId="0FC79E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二、适用范围：神经康复科、康复医学科，用于脑卒中、脑外伤、脊髓损伤、周围神经损伤等导致上下肢运动功能障碍的患者，进行主被动康复训练</w:t>
            </w:r>
          </w:p>
          <w:p w14:paraId="55347B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1CED21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具备主动、被动两种训练模式，可根据患者肌力情况切换，被动模式可带动患者上下肢完成规范的屈伸、旋转等康复动作</w:t>
            </w:r>
          </w:p>
          <w:p w14:paraId="0B1E13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可调节运动速度、阻力、运动范围，适配不同患者的肌力水平和康复阶段</w:t>
            </w:r>
          </w:p>
          <w:p w14:paraId="43C4BD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配备安全防护装置，当患者出现异常运动或阻力过大时，可自动停止或反向运动，避免肌肉拉伤</w:t>
            </w:r>
          </w:p>
          <w:p w14:paraId="72D070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具备实时监测功能，可显示运动速度、时间、阻力、患者主动发力情况等参数，方便康复师调整训练方案</w:t>
            </w:r>
          </w:p>
          <w:p w14:paraId="7B809C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手柄、脚踏板可调节尺寸和位置，适配不同身高、肢体长度的患者</w:t>
            </w:r>
          </w:p>
          <w:p w14:paraId="169409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具备数据存储功能，可记录患者每次训练数据，跟踪康复进展</w:t>
            </w:r>
          </w:p>
        </w:tc>
      </w:tr>
      <w:tr w14:paraId="175D0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C0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2B8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上下肢主被动康复机(床旁下肢)</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71E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60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一、诊疗项目：床旁下肢运动功能障碍患者早期康复训练</w:t>
            </w:r>
          </w:p>
          <w:p w14:paraId="2ABFDD5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二、适用范围：神经康复科、重症监护室、普通病区，用于长期卧床、下肢肌力减退、下肢运动功能障碍的患者，进行床旁下肢主被动康复训练</w:t>
            </w:r>
          </w:p>
          <w:p w14:paraId="0ABD90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28D9F4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床旁设计，可直接放置在病床旁使用，无需转移患者，适配病床高度，方便卧床患者直接进行训练</w:t>
            </w:r>
          </w:p>
          <w:p w14:paraId="4E0BEF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具备主动、被动双模式，被动模式可带动患者下肢完成屈伸、踝泵等规范康复动作，主动模式可引导患者自主发力</w:t>
            </w:r>
          </w:p>
          <w:p w14:paraId="4BE2B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可调节运动速度、阻力、运动行程，适配患者下肢肌力水平和活动度</w:t>
            </w:r>
          </w:p>
          <w:p w14:paraId="672904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具备过载保护、急停功能，当患者下肢活动受限或出现异常时，可立即停止运动，保障患者安全</w:t>
            </w:r>
          </w:p>
          <w:p w14:paraId="0625E8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脚踏板可调节角度和宽度，适配不同患者的足部尺寸和下肢力线</w:t>
            </w:r>
          </w:p>
          <w:p w14:paraId="27B22C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体积小巧，移动便捷，可在不同病床间快速转移使用</w:t>
            </w:r>
          </w:p>
        </w:tc>
      </w:tr>
      <w:tr w14:paraId="23AA4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79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056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经颅磁刺激仪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7B6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F6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一、诊疗项目：神经康复科脑功能障碍患者神经调控治疗</w:t>
            </w:r>
          </w:p>
          <w:p w14:paraId="4FEC50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二、适用范围：神经康复科、精神科、神经内科，用于脑卒中后运动功能障碍、认知障碍、抑郁焦虑、睡眠障碍、脊髓损伤后神经痛等疾病的神经调控治疗</w:t>
            </w:r>
          </w:p>
          <w:p w14:paraId="216E93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F10A3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具备重复经颅磁刺激、单脉冲经颅磁刺激等多种刺激模式，可适配不同的治疗方案</w:t>
            </w:r>
          </w:p>
          <w:p w14:paraId="7B98F7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刺激频率、强度、脉冲宽度、治疗时间等参数可精准调节，满足不同疾病的治疗参数要求</w:t>
            </w:r>
          </w:p>
          <w:p w14:paraId="4701C8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配备多种规格的刺激线圈，可适配不同的治疗部位（如运动皮层、前额叶、小脑等）</w:t>
            </w:r>
          </w:p>
          <w:p w14:paraId="74D1F5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具备精准定位功能，可配合定位帽、导航系统实现治疗部位的精准定位，保障治疗效果</w:t>
            </w:r>
          </w:p>
          <w:p w14:paraId="2BF5B1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具备安全监测功能，可实时监测患者治疗过程中的脑电、心电等生命体征，出现异常可立即停止治疗</w:t>
            </w:r>
          </w:p>
          <w:p w14:paraId="18C709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具备治疗方案存储功能，可预设多种疾病的治疗方案，方便临床快速调用</w:t>
            </w:r>
          </w:p>
          <w:p w14:paraId="415743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设备具备电磁屏蔽功能，避免对周围其他医疗设备产生干扰</w:t>
            </w:r>
          </w:p>
        </w:tc>
      </w:tr>
      <w:tr w14:paraId="3C122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F6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C66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微波治疗仪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43B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B31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一、诊疗项目：临床炎症、疼痛、伤口愈合的物理治疗</w:t>
            </w:r>
          </w:p>
          <w:p w14:paraId="065507E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二、适用范围：日间手术病房、外科、内科、康复科，用于软组织损伤、关节炎、盆腔炎、伤口愈合不良、术后粘连、炎症性疾病等的物理治疗</w:t>
            </w:r>
          </w:p>
          <w:p w14:paraId="02976EE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三、基本功能要求：</w:t>
            </w:r>
          </w:p>
          <w:p w14:paraId="73F8BE5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 输出功率、治疗时间、治疗模式可精准调节，具备连续波、脉冲波等多种输出模式，适配不同的治疗需求</w:t>
            </w:r>
          </w:p>
          <w:p w14:paraId="70E4ED0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 配备多种规格的治疗探头，可适配不同的治疗部位（如体表、腔道、伤口等）</w:t>
            </w:r>
          </w:p>
          <w:p w14:paraId="1C904FF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 具备温度监测与控制功能，可实时监测治疗部位的温度，避免温度过高造成烫伤，保障治疗安全性</w:t>
            </w:r>
          </w:p>
          <w:p w14:paraId="29758AD6">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 具备计时功能，可精准控制治疗时间，治疗结束后自动停止输出</w:t>
            </w:r>
          </w:p>
          <w:p w14:paraId="561B672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 探头具备防烫设计，可避免治疗过程中探头直接接触皮肤造成烫伤</w:t>
            </w:r>
          </w:p>
          <w:p w14:paraId="2E4BC0D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yellow"/>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 设备具备过载保护、故障自检功能，出现异常可自动停机并报警</w:t>
            </w:r>
          </w:p>
        </w:tc>
      </w:tr>
      <w:tr w14:paraId="1242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7A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E19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痉挛肌低频治疗仪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F61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5E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一、诊疗项目：康复医学科肌肉痉挛患者的物理治疗</w:t>
            </w:r>
          </w:p>
          <w:p w14:paraId="10B922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二、适用范围：神经康复科、康复医学科，用于脑卒中、脊髓损伤、脑瘫等上运动神经元损伤导致的肌肉痉挛、肌张力增高的患者，进行解痉、降低肌张力治疗</w:t>
            </w:r>
          </w:p>
          <w:p w14:paraId="30E471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2E7E82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具备低频脉冲电刺激功能，可输出符合医疗标准的低频脉冲电流，通过刺激痉挛肌的拮抗肌，实现交互抑制，降低肌张力</w:t>
            </w:r>
          </w:p>
          <w:p w14:paraId="3AA6CE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可调节脉冲频率、强度、波宽、治疗时间等参数，适配不同患者的痉挛程度和肌肉耐受度</w:t>
            </w:r>
          </w:p>
          <w:p w14:paraId="1EF979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配备多组电极片，可同时刺激多组拮抗肌，适配不同部位的肌肉痉挛（如腓肠肌痉挛、肱二头肌痉挛等）</w:t>
            </w:r>
          </w:p>
          <w:p w14:paraId="435134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具备安全保护功能，当输出电流异常或患者出现不适时，可自动停止输出，保障患者安全</w:t>
            </w:r>
          </w:p>
          <w:p w14:paraId="18E861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具备多种治疗模式，可适配不同的痉挛类型和康复阶段</w:t>
            </w:r>
          </w:p>
          <w:p w14:paraId="3F7B6B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体积小巧，操作便捷，可在病房、康复室等多种场景使用</w:t>
            </w:r>
          </w:p>
        </w:tc>
      </w:tr>
      <w:tr w14:paraId="119F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38A8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3B3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中频脉冲电治疗仪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42F4">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1E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一、诊疗项目：临床疼痛、炎症、肌肉功能障碍的物理治疗</w:t>
            </w:r>
          </w:p>
          <w:p w14:paraId="428C6C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二、适用范围：康复科、骨科、外科、内科，用于颈肩腰腿痛、软组织损伤、关节炎、神经痛、肌肉萎缩、术后肠粘连等疾病的物理治疗</w:t>
            </w:r>
          </w:p>
          <w:p w14:paraId="43CEAF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054DE5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具备中频脉冲电输出功能，可输出多种波形的中频脉冲电流，具备镇痛、消炎、改善局部血液循环、锻炼肌肉等作用</w:t>
            </w:r>
          </w:p>
          <w:p w14:paraId="553503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可调节输出频率、强度、治疗时间、波形等参数，适配不同的治疗需求和患者耐受度</w:t>
            </w:r>
          </w:p>
          <w:p w14:paraId="1B232F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配备多组电极片，可适配不同的治疗部位，可实现多部位同时治疗</w:t>
            </w:r>
          </w:p>
          <w:p w14:paraId="51551B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具备安全保护功能，具备输出过载保护、电极脱落检测功能，当电极脱落或电流异常时，可自动停止输出，避免患者受到刺激</w:t>
            </w:r>
          </w:p>
          <w:p w14:paraId="36A767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具备多种预设治疗方案，可针对不同疾病快速调用对应的治疗参数，操作便捷</w:t>
            </w:r>
          </w:p>
          <w:p w14:paraId="3FBF10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设备具备计时功能，治疗结束后自动停止输出，并有提示音提醒</w:t>
            </w:r>
          </w:p>
        </w:tc>
      </w:tr>
      <w:tr w14:paraId="7291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B8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9B4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生物反馈治疗仪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4AA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08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一、诊疗项目：康复医学科神经肌肉功能障碍、盆底功能障碍患者的康复治疗</w:t>
            </w:r>
          </w:p>
          <w:p w14:paraId="30C52B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二、适用范围：神经康复科、妇产科、肛肠科，用于脑卒中后偏瘫、面瘫、盆底肌功能障碍、尿失禁、便秘、神经源性膀胱等疾病的康复治疗</w:t>
            </w:r>
          </w:p>
          <w:p w14:paraId="2491D1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C627A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具备肌电生物反馈、压力生物反馈等多种反馈模式，可实时采集患者的肌电、压力等生理信号，并转化为视觉、听觉反馈信号，引导患者进行自主训练</w:t>
            </w:r>
          </w:p>
          <w:p w14:paraId="1A5219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可精准调节信号采集灵敏度、反馈阈值、训练时间等参数，适配不同患者的功能障碍程度</w:t>
            </w:r>
          </w:p>
          <w:p w14:paraId="0DC008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配备多种规格的传感器，可适配不同的治疗部位（如面部、四肢、盆底、直肠等）</w:t>
            </w:r>
          </w:p>
          <w:p w14:paraId="2E38E3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具备多种训练模式，可适配不同的疾病和康复阶段，如肌力训练、放松训练、协调训练等</w:t>
            </w:r>
          </w:p>
          <w:p w14:paraId="2537D2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具备实时监测和数据显示功能，可实时显示患者的生理信号变化，方便康复师调整训练方案</w:t>
            </w:r>
          </w:p>
          <w:p w14:paraId="42E460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具备数据存储和回放功能，可记录患者的训练数据，跟踪康复进展，对比训练效果</w:t>
            </w:r>
          </w:p>
          <w:p w14:paraId="2AD8E9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操作界面简洁，引导式训练设计，方便患者理解和配合训练</w:t>
            </w:r>
          </w:p>
        </w:tc>
      </w:tr>
      <w:tr w14:paraId="00B5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C6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B65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PT床</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D68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10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1612C4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康复患者体位摆放、肢体功能训练、平衡功能训练、康复评估与治疗配套操作</w:t>
            </w:r>
          </w:p>
          <w:p w14:paraId="05ED19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4B4094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神经康复科、康复医学科，适用于脑卒中、脊髓损伤、骨折术后、脑瘫等存在肢体功能障碍的患者</w:t>
            </w:r>
          </w:p>
          <w:p w14:paraId="50C25C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1272F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床体可实现多段式角度调节，满足仰卧、侧卧、坐位、下肢抬高等多种康复体位需求</w:t>
            </w:r>
          </w:p>
          <w:p w14:paraId="03B3CD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床面采用防滑、防水、易清洁的医用材质，承重能力≥150kg，适配康复训练操作</w:t>
            </w:r>
          </w:p>
          <w:p w14:paraId="3F274F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配备可调节扶手、安全绑带，保障患者训练过程中的安全，防止坠床、摔倒</w:t>
            </w:r>
          </w:p>
          <w:p w14:paraId="700A04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床体底部带静音万向轮，可轻松移动，同时带锁定装置，固定时稳定不滑动</w:t>
            </w:r>
          </w:p>
          <w:p w14:paraId="39D8DF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床体高度可调节，适配不同身高康复师的操作需求，降低操作疲劳</w:t>
            </w:r>
          </w:p>
        </w:tc>
      </w:tr>
      <w:tr w14:paraId="4E82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0B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C9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OT桌</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21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13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CD0D4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作业治疗、手功能精细训练、认知训练、日常生活能力训练、康复评估配套操作</w:t>
            </w:r>
          </w:p>
          <w:p w14:paraId="0EBCFF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124AEE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神经康复科、康复医学科、儿科康复，适用于手功能障碍、认知障碍、日常生活能力下降的患者</w:t>
            </w:r>
          </w:p>
          <w:p w14:paraId="0E9B12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1FA140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桌面高度可电动/手动调节，适配不同身高患者的坐位、站位训练需求</w:t>
            </w:r>
          </w:p>
          <w:p w14:paraId="573248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桌面采用防滑、防刮、易清洁的医用材质，可承载≥50kg的训练器械</w:t>
            </w:r>
          </w:p>
          <w:p w14:paraId="1D9CC6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配备可调节角度的桌面面板，可倾斜0-90度，适配写字、画画、手功能训练等不同场景</w:t>
            </w:r>
          </w:p>
          <w:p w14:paraId="4ABA51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桌面带限位装置，防止倾斜过程中滑落，底部带锁定万向轮，方便移动与固定</w:t>
            </w:r>
          </w:p>
          <w:p w14:paraId="12957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可配套安装手部训练器、认知训练板等康复辅具，满足多样化训练需求</w:t>
            </w:r>
          </w:p>
        </w:tc>
      </w:tr>
      <w:tr w14:paraId="26852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22B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BEE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便携超声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C03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5E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70C67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床旁超声检查、急重症超声诊断、穿刺引导、脏器功能评估、血流动力学监测</w:t>
            </w:r>
          </w:p>
          <w:p w14:paraId="0B2C1D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0B847D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日间化疗病房、急诊、ICU、内科、外科，适用于床旁快速评估、急重症诊断、穿刺操作引导等场景</w:t>
            </w:r>
          </w:p>
          <w:p w14:paraId="743BB5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19D85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设备重量≤5kg，便携易移动，支持电池供电，续航≥4小时，满足床旁、急诊外出使用需求</w:t>
            </w:r>
          </w:p>
          <w:p w14:paraId="3CA811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配备凸阵、线阵、腔内等多种探头，可适配腹部、心脏、血管、浅表器官等多部位检查</w:t>
            </w:r>
          </w:p>
          <w:p w14:paraId="729478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支持B模式、M模式、彩色多普勒、脉冲多普勒等多种成像模式，满足不同诊断需求</w:t>
            </w:r>
          </w:p>
          <w:p w14:paraId="70D26E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屏幕尺寸≥10英寸，高清显示，支持图像存储、回放、导出，方便病例记录与会诊</w:t>
            </w:r>
          </w:p>
          <w:p w14:paraId="21A6C7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设备操作界面简洁，开机速度≤60秒，适配临床快速检查的需求，具备防水、防摔设计</w:t>
            </w:r>
          </w:p>
        </w:tc>
      </w:tr>
      <w:tr w14:paraId="3E58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BEE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93B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胰岛素泵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A84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AB37">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一、诊疗项目：</w:t>
            </w:r>
          </w:p>
          <w:p w14:paraId="21D2141F">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糖尿病患者持续皮下胰岛素输注、血糖精细化控制、围手术期血糖管理、妊娠糖尿病血糖调控</w:t>
            </w:r>
          </w:p>
          <w:p w14:paraId="3C8A8415">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二、适用范围：</w:t>
            </w:r>
          </w:p>
          <w:p w14:paraId="03E77893">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内分泌科、内科、围手术期病房、产科，适用于1型糖尿病、2型糖尿病血糖控制不佳、妊娠糖尿病患者</w:t>
            </w:r>
          </w:p>
          <w:p w14:paraId="793FAEBF">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三、基本功能要求：</w:t>
            </w:r>
          </w:p>
          <w:p w14:paraId="6BC724DA">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 支持基础胰岛素率、餐时胰岛素大剂量、校正大剂量等多种输注模式，可模拟生理胰岛素分泌</w:t>
            </w:r>
          </w:p>
          <w:p w14:paraId="392E62ED">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 剂量调节精度≤0.05U，最小输注量≤0.1U，满足精细化血糖控制需求</w:t>
            </w:r>
          </w:p>
          <w:p w14:paraId="6A98757A">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 具备血糖监测联动功能，可匹配动态血糖监测系统，实现血糖超标自动暂停输注</w:t>
            </w:r>
          </w:p>
          <w:p w14:paraId="380BBF68">
            <w:pPr>
              <w:keepNext w:val="0"/>
              <w:keepLines w:val="0"/>
              <w:widowControl/>
              <w:suppressLineNumbers w:val="0"/>
              <w:tabs>
                <w:tab w:val="left" w:pos="882"/>
              </w:tabs>
              <w:jc w:val="left"/>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 配备多种安全报警功能，包括药量不足、管路堵塞、电池电量低、输注异常等报警提醒</w:t>
            </w:r>
          </w:p>
          <w:p w14:paraId="685FBDD7">
            <w:pPr>
              <w:keepNext w:val="0"/>
              <w:keepLines w:val="0"/>
              <w:widowControl/>
              <w:suppressLineNumbers w:val="0"/>
              <w:tabs>
                <w:tab w:val="left" w:pos="882"/>
              </w:tabs>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 设备重量≤100g，便携隐蔽，防水等级≥IPX8，可洗澡、游泳时佩戴，适配患者日常活动</w:t>
            </w:r>
          </w:p>
        </w:tc>
      </w:tr>
      <w:tr w14:paraId="700E9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367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55C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遥测心电监护（1拖6）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706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4D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609F46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患者心电、心率、血氧饱和度、血压、呼吸等生命体征持续监测、异常报警、数据记录与回顾</w:t>
            </w:r>
          </w:p>
          <w:p w14:paraId="07FA0C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6511B6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内分泌科、心内科、内科、围手术期病房，适用于冠心病、心律失常、高血压、重症患者的生命体征监测</w:t>
            </w:r>
          </w:p>
          <w:p w14:paraId="2571BF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AA0EA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支持1台主机同时连接6台遥测监护终端，可同时监测6位患者的生命体征，适配病房多患者监测需求</w:t>
            </w:r>
          </w:p>
          <w:p w14:paraId="7AAA18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监测参数包括心电、心率、血氧饱和度、无创血压、呼吸频率、体温，可满足常规生命体征监测需求</w:t>
            </w:r>
          </w:p>
          <w:p w14:paraId="25359E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具备心律失常自动分析、报警功能，可识别室早、房早、房颤等多种心律失常，异常时自动声光报警</w:t>
            </w:r>
          </w:p>
          <w:p w14:paraId="2EC6FB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监测数据可实时显示、存储、回放，存储时长≥72小时，支持数据导出、打印，方便病例记录与会诊</w:t>
            </w:r>
          </w:p>
          <w:p w14:paraId="714979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终端设备小巧便携，佩戴舒适，防水防汗，无线传输距离≥100米，可覆盖整个病房区域 </w:t>
            </w:r>
          </w:p>
        </w:tc>
      </w:tr>
      <w:tr w14:paraId="26C7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AA3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888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晨护车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39D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CA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C5EFD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患者晨间护理、基础护理操作、护理用品存放、护理操作配套移动平台</w:t>
            </w:r>
          </w:p>
          <w:p w14:paraId="1DA8A2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55044B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全院各病区，适用于住院患者的晨间护理、日常护理操作，适配护士站、病房、走廊等场景</w:t>
            </w:r>
          </w:p>
          <w:p w14:paraId="0A5E58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A143D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车体采用304不锈钢材质，耐腐蚀、易清洁、承重能力强，配备多层抽屉、储物格，可分类存放护理用品</w:t>
            </w:r>
          </w:p>
          <w:p w14:paraId="062DE9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配备静音万向轮，带锁定装置，可轻松移动与固定，适配病房内狭窄通道的移动需求</w:t>
            </w:r>
          </w:p>
          <w:p w14:paraId="22F2E6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台面采用防滑、防水、防刮的医用材质，可放置护理操作盘、治疗盘，带围栏防止物品滑落</w:t>
            </w:r>
          </w:p>
          <w:p w14:paraId="0BEB33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配备垃圾桶、锐器盒放置位，可分类存放医疗垃圾、锐器，符合院感防控要求</w:t>
            </w:r>
          </w:p>
          <w:p w14:paraId="70FA24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抽屉带锁或卡扣设计，可防止护理用品滑落、丢失，整体尺寸适配病房门宽、电梯尺寸</w:t>
            </w:r>
          </w:p>
        </w:tc>
      </w:tr>
      <w:tr w14:paraId="6F170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40B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660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紫外线治疗仪/红光治疗仪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273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6B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C808F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皮肤炎症、伤口愈合、疼痛缓解、炎症消退、皮肤科疾病理疗</w:t>
            </w:r>
          </w:p>
          <w:p w14:paraId="78651E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3A3377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日间手术病房、皮肤科、康复科、外科，适用于伤口愈合慢、软组织损伤、皮炎、湿疹、疼痛综合征患者</w:t>
            </w:r>
          </w:p>
          <w:p w14:paraId="70DEC7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082A1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紫外线治疗仪：配备中波、长波紫外线光源，波长311nm、365nm，可调节照射剂量、时间，支持多种治疗模式</w:t>
            </w:r>
          </w:p>
          <w:p w14:paraId="5FB60C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红光治疗仪：配备630nm红光光源，功率密度可调，可促进伤口愈合、缓解疼痛、消退炎症</w:t>
            </w:r>
          </w:p>
          <w:p w14:paraId="3A6B7C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设备具备定时功能，可精准控制照射时长，超时自动停止，配备安全防护装置，防止紫外线直射眼睛</w:t>
            </w:r>
          </w:p>
          <w:p w14:paraId="0AC73B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照射头可多角度调节、升降，适配不同部位、不同体位的治疗需求</w:t>
            </w:r>
          </w:p>
          <w:p w14:paraId="39B28F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设备带静音万向轮，可轻松移动，操作界面简洁，带数码显示，参数设置直观</w:t>
            </w:r>
          </w:p>
        </w:tc>
      </w:tr>
      <w:tr w14:paraId="71A9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00A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0D0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口服药车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A680">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0E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62721E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住院患者口服药发放、药品分类存放、用药核对、药房取药配套</w:t>
            </w:r>
          </w:p>
          <w:p w14:paraId="029301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27FDA3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全院各病区，适用于住院患者的口服药发放、药品管理，适配护士站、病房、药房等场景</w:t>
            </w:r>
          </w:p>
          <w:p w14:paraId="45F8E1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7AC90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车体采用304不锈钢材质，耐腐蚀、易清洁，配备多层抽屉、药格，可按床号、姓名分类存放患者口服药</w:t>
            </w:r>
          </w:p>
          <w:p w14:paraId="162373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每个药格带标识位，可标注患者床号、姓名、药品名称、剂量、用法，防止用药差错</w:t>
            </w:r>
          </w:p>
          <w:p w14:paraId="2E3FB4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配备静音万向轮，带锁定装置，可轻松移动与固定，适配病房内狭窄通道的移动需求</w:t>
            </w:r>
          </w:p>
          <w:p w14:paraId="5F5F80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配备锁具，可对药品进行上锁管理，防止药品丢失、错拿，符合药品管理规范</w:t>
            </w:r>
          </w:p>
          <w:p w14:paraId="5A15FB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台面采用防滑、防水、防刮的医用材质，可放置药盘、核对单，带围栏防止物品滑落，整体尺寸适配病房门宽</w:t>
            </w:r>
          </w:p>
        </w:tc>
      </w:tr>
      <w:tr w14:paraId="5D252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631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737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气压治疗仪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535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4A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26755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肢体血液循环改善、淋巴回流促进、水肿消退、血栓预防、肢体功能康复</w:t>
            </w:r>
          </w:p>
          <w:p w14:paraId="31EE78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396C21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日间手术病房、康复科、外科、内科，适用于术后水肿、下肢深静脉血栓预防、淋巴水肿、肢体循环障碍患者</w:t>
            </w:r>
          </w:p>
          <w:p w14:paraId="1F5516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7A52E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设备具备多腔室气囊，可从远端到近端依次序贯充气、放气，模拟人工按摩，促进血液、淋巴回流</w:t>
            </w:r>
          </w:p>
          <w:p w14:paraId="7A7B1D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压力调节范围0-300mmHg，可多档位调节，适配不同患者的耐受度，满足个体化治疗需求</w:t>
            </w:r>
          </w:p>
          <w:p w14:paraId="2772DF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具备定时功能，可设置治疗时长，超时自动停止，配备多种治疗模式，包括持续模式、间歇模式、梯度模式</w:t>
            </w:r>
          </w:p>
          <w:p w14:paraId="7CDA94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气囊采用医用级硅胶材质，可拆分、清洗、消毒，适配不同肢体尺寸的患者，包括成人、儿童</w:t>
            </w:r>
          </w:p>
          <w:p w14:paraId="3E3382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设备带静音万向轮，可轻松移动，操作界面简洁，带数码显示，参数设置直观，具备压力异常报警功能</w:t>
            </w:r>
          </w:p>
        </w:tc>
      </w:tr>
      <w:tr w14:paraId="27CBE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C9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w:t>
            </w:r>
            <w:r>
              <w:rPr>
                <w:rFonts w:hint="eastAsia" w:ascii="宋体" w:hAnsi="宋体" w:cs="宋体"/>
                <w:i w:val="0"/>
                <w:iCs w:val="0"/>
                <w:color w:val="000000"/>
                <w:kern w:val="0"/>
                <w:sz w:val="20"/>
                <w:szCs w:val="20"/>
                <w:u w:val="none"/>
                <w:lang w:val="en-US" w:eastAsia="zh-CN" w:bidi="ar"/>
              </w:rPr>
              <w:t>0902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DE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气压治疗仪（足底泵）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216C">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AA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161DB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足底血液循环改善、下肢深静脉血栓预防、足底水肿消退、足部功能康复</w:t>
            </w:r>
          </w:p>
          <w:p w14:paraId="4EAC43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35C045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日间手术病房、外科、骨科、康复科，适用于术后卧床患者、下肢骨折、足底水肿、糖尿病足患者</w:t>
            </w:r>
          </w:p>
          <w:p w14:paraId="317BC2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1CC1FC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设备针对足底穴位、反射区设计，可通过气囊充气、放气，模拟足底按摩，促进足底血液循环</w:t>
            </w:r>
          </w:p>
          <w:p w14:paraId="76BC0B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压力调节范围0-200mmHg，可多档位调节，适配不同患者的耐受度，满足个体化治疗需求</w:t>
            </w:r>
          </w:p>
          <w:p w14:paraId="1CC8BD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具备定时功能，可设置治疗时长，超时自动停止，配备多种按摩模式，包括脉冲模式、持续模式、间歇模式</w:t>
            </w:r>
          </w:p>
          <w:p w14:paraId="21DC4A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足底气囊采用医用级柔软材质，贴合足底曲线，可拆分、清洗、消毒，适配不同鞋码的患者</w:t>
            </w:r>
          </w:p>
          <w:p w14:paraId="1144EA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设备小巧便携，可放置在病床旁，操作简单，患者可自行操作，具备压力异常报警功能，保障使用安全</w:t>
            </w:r>
          </w:p>
        </w:tc>
      </w:tr>
      <w:tr w14:paraId="28E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0E8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D0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取药车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E9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B4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576072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病区药房取药、药品转运、药品分类存放、药品核对、耗材转运</w:t>
            </w:r>
          </w:p>
          <w:p w14:paraId="4B235B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6C95F1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全院各病区、药房，适用于病区药房取药、药品转运、耗材配送，适配药房、病房、电梯等场景</w:t>
            </w:r>
          </w:p>
          <w:p w14:paraId="1856D6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4739DA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车体采用304不锈钢材质，耐腐蚀、易清洁、承重能力强，配备多层储物格、抽屉，可分类存放不同药品、耗材</w:t>
            </w:r>
          </w:p>
          <w:p w14:paraId="71459D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配备静音万向轮，带锁定装置，可轻松移动与固定，适配药房、病房内狭窄通道的移动需求</w:t>
            </w:r>
          </w:p>
          <w:p w14:paraId="2BD7E6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配备锁具，可对药品、耗材进行上锁管理，防止丢失、错拿，符合药品、耗材管理规范</w:t>
            </w:r>
          </w:p>
          <w:p w14:paraId="69A16C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车体带围栏、挡板，可防止药品、耗材在转运过程中滑落、倾倒，台面采用防滑、防水、防刮的医用材质</w:t>
            </w:r>
          </w:p>
          <w:p w14:paraId="009A3C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整体尺寸适配药房窗口、病房门宽、电梯尺寸，可轻松进出，多层结构可实现药品、耗材的分类转运，提高取药效率</w:t>
            </w:r>
          </w:p>
        </w:tc>
      </w:tr>
      <w:tr w14:paraId="33902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132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016F">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输液泵</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9EC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26</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58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E000C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患者静脉输液、输血、药物输注、营养液输注、精准给药控制</w:t>
            </w:r>
          </w:p>
          <w:p w14:paraId="149D73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54BCAE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日间手术病房、全院各病区、急诊、ICU，适用于需要精准控制输液速度、剂量的患者，包括化疗、危重患者、儿童患者</w:t>
            </w:r>
          </w:p>
          <w:p w14:paraId="4EE7CC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286FB9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输液速度调节范围0.1-999.9ml/h，调节精度±5%，可精准控制输液速度，满足不同药物的输注需求</w:t>
            </w:r>
          </w:p>
          <w:p w14:paraId="1F546E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具备多种输液模式，包括常规模式、滴速模式、体重模式、时间模式，适配不同临床场景</w:t>
            </w:r>
          </w:p>
          <w:p w14:paraId="030595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具备多种安全报警功能，包括管路堵塞、气泡、输液完成、药量不足、电池电量低、输注异常等声光报警</w:t>
            </w:r>
          </w:p>
          <w:p w14:paraId="44DEA5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设备可适配多种规格的输液器、注射器，兼容性强，配备防坠装置，可固定在输液架、病床旁</w:t>
            </w:r>
          </w:p>
          <w:p w14:paraId="0CDED0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设备重量轻，便携易操作，电池续航≥8小时，可满足患者转运、外出检查时的输液需求，防水防摔设计</w:t>
            </w:r>
          </w:p>
        </w:tc>
      </w:tr>
      <w:tr w14:paraId="01C2E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48E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18D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BEF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81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A9DB6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患者输液治疗、输液药品存放、输液操作配套、输液器具管理</w:t>
            </w:r>
          </w:p>
          <w:p w14:paraId="0FA3B2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6563CC7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日间手术病房、全院各病区、急诊、输液室，适用于住院患者、门诊患者的输液治疗，适配病房、输液室、急诊等场景</w:t>
            </w:r>
          </w:p>
          <w:p w14:paraId="314702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669EAB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车体采用304不锈钢材质，耐腐蚀、易清洁，配备多层抽屉、储物格，可分类存放输液药品、输液器具、护理用品</w:t>
            </w:r>
          </w:p>
          <w:p w14:paraId="3B9212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配备可调节高度的输液架，可悬挂多瓶输液袋/瓶，适配不同身高患者的输液需求</w:t>
            </w:r>
          </w:p>
          <w:p w14:paraId="62CD0B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配备静音万向轮，带锁定装置，可轻松移动与固定，适配病房、输液室狭窄通道的移动需求</w:t>
            </w:r>
          </w:p>
          <w:p w14:paraId="5EEECE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配备垃圾桶、锐器盒放置位，可分类存放医疗垃圾、锐器，符合院感防控要求</w:t>
            </w:r>
          </w:p>
          <w:p w14:paraId="722B38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台面采用防滑、防水、防刮的医用材质，可放置输液盘、治疗盘，带围栏防止物品滑落，抽屉带锁设计，可防止药品丢失</w:t>
            </w:r>
          </w:p>
        </w:tc>
      </w:tr>
      <w:tr w14:paraId="5DA1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B1F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D2F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输液隔断椅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5CA5">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9E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452B3F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患者输液治疗、输液休息、输液隔断防护、输液体位支撑</w:t>
            </w:r>
          </w:p>
          <w:p w14:paraId="75E08E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7E0A74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日间化疗病房、输液室、门诊、日间手术病房，适用于化疗患者、门诊输液患者、日间手术输液患者</w:t>
            </w:r>
          </w:p>
          <w:p w14:paraId="03CEB5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5BE924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座椅采用医用级环保材质，防水、防刮、易清洁，可调节靠背角度，满足患者坐位、半卧位、躺位等多种输液体位需求</w:t>
            </w:r>
          </w:p>
          <w:p w14:paraId="3D2893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配备可调节高度的输液架，可悬挂输液袋/瓶，适配不同身高患者的输液需求</w:t>
            </w:r>
          </w:p>
          <w:p w14:paraId="702D4E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配备隔断设计，可实现患者之间的独立隔断，保护患者隐私，同时降低交叉感染风险</w:t>
            </w:r>
          </w:p>
          <w:p w14:paraId="35FBD2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座椅带扶手、脚踏，可支撑患者肢体，提高输液舒适度，底部带锁定装置，可固定位置，防止滑动</w:t>
            </w:r>
          </w:p>
          <w:p w14:paraId="1988F7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整体尺寸适配输液室、病房的空间布局，可多台并排摆放，不占用过多空间，同时满足患者的输液休息需求</w:t>
            </w:r>
          </w:p>
        </w:tc>
      </w:tr>
      <w:tr w14:paraId="4F0E0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1AB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BFB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医用冰箱</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7A0A">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0E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w:t>
            </w:r>
          </w:p>
          <w:p w14:paraId="7A175F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药品冷藏、试剂储存、疫苗冷藏、生物制品存放、血液制品储存</w:t>
            </w:r>
          </w:p>
          <w:p w14:paraId="57314F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w:t>
            </w:r>
          </w:p>
          <w:p w14:paraId="572B30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日间手术病房、药房、检验科、输血科、疫苗接种室，适用于需要低温储存的药品、试剂、疫苗、生物制品、血液制品</w:t>
            </w:r>
          </w:p>
          <w:p w14:paraId="624849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350B8D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温控范围2-8℃，温度控制精度±0.5℃，可精准控制冷藏温度，满足药品、试剂的储存要求</w:t>
            </w:r>
          </w:p>
          <w:p w14:paraId="2C05BF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配备风冷系统，箱内温度均匀，无死角，避免局部温度过高或过低，保证储存物品的稳定性</w:t>
            </w:r>
          </w:p>
          <w:p w14:paraId="02EB2E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具备温度显示、超温报警功能，温度异常时自动声光报警，可记录温度数据，方便追溯</w:t>
            </w:r>
          </w:p>
          <w:p w14:paraId="3A0C40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箱体采用医用级环保材质，耐腐蚀、易清洁、无异味，配备多层可拆卸搁架，可分类存放不同物品</w:t>
            </w:r>
          </w:p>
          <w:p w14:paraId="2812CE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配备门锁，可对箱内物品进行上锁管理，防止丢失、错拿，符合药品、试剂管理规范，带脚轮，可轻松移动与固定</w:t>
            </w:r>
          </w:p>
        </w:tc>
      </w:tr>
      <w:tr w14:paraId="445D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5DEA">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20260</w:t>
            </w:r>
            <w:r>
              <w:rPr>
                <w:rFonts w:hint="eastAsia" w:ascii="宋体" w:hAnsi="宋体" w:cs="宋体"/>
                <w:i w:val="0"/>
                <w:iCs w:val="0"/>
                <w:color w:val="000000"/>
                <w:kern w:val="0"/>
                <w:sz w:val="20"/>
                <w:szCs w:val="20"/>
                <w:highlight w:val="none"/>
                <w:u w:val="none"/>
                <w:lang w:val="en-US" w:eastAsia="zh-CN" w:bidi="ar"/>
              </w:rPr>
              <w:t>902</w:t>
            </w:r>
            <w:r>
              <w:rPr>
                <w:rFonts w:hint="eastAsia" w:ascii="宋体" w:hAnsi="宋体" w:eastAsia="宋体" w:cs="宋体"/>
                <w:i w:val="0"/>
                <w:iCs w:val="0"/>
                <w:color w:val="000000"/>
                <w:kern w:val="0"/>
                <w:sz w:val="20"/>
                <w:szCs w:val="20"/>
                <w:highlight w:val="none"/>
                <w:u w:val="none"/>
                <w:lang w:val="en-US" w:eastAsia="zh-CN" w:bidi="ar"/>
              </w:rPr>
              <w:t>-</w:t>
            </w:r>
            <w:r>
              <w:rPr>
                <w:rFonts w:hint="eastAsia" w:ascii="宋体" w:hAnsi="宋体" w:cs="宋体"/>
                <w:i w:val="0"/>
                <w:iCs w:val="0"/>
                <w:color w:val="000000"/>
                <w:kern w:val="0"/>
                <w:sz w:val="20"/>
                <w:szCs w:val="20"/>
                <w:highlight w:val="none"/>
                <w:u w:val="none"/>
                <w:lang w:val="en-US" w:eastAsia="zh-CN" w:bidi="ar"/>
              </w:rPr>
              <w:t>37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1155">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治疗车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92E6">
            <w:pPr>
              <w:keepNext w:val="0"/>
              <w:keepLines w:val="0"/>
              <w:widowControl/>
              <w:suppressLineNumbers w:val="0"/>
              <w:jc w:val="center"/>
              <w:textAlignment w:val="center"/>
              <w:rPr>
                <w:rFonts w:hint="default"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11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3D0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一、诊疗项目：</w:t>
            </w:r>
          </w:p>
          <w:p w14:paraId="29D5B27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患者治疗操作、护理操作、治疗用品存放、急救操作配套、器械转运</w:t>
            </w:r>
          </w:p>
          <w:p w14:paraId="5BB8A53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二、适用范围：</w:t>
            </w:r>
          </w:p>
          <w:p w14:paraId="45A5461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日间手术病房、全院各病区、急诊、ICU，适用于患者的治疗、护理、急救操作，适配病房、急诊、手术室等场景</w:t>
            </w:r>
          </w:p>
          <w:p w14:paraId="04E9710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三、基本功能要求：</w:t>
            </w:r>
          </w:p>
          <w:p w14:paraId="112AD49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 车体采用304不锈钢材质，耐腐蚀、易清洁、承重能力强，配备多层抽屉、储物格，可分类存放治疗用品、护理器械、药品</w:t>
            </w:r>
          </w:p>
          <w:p w14:paraId="5703198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 配备静音万向轮，带锁定装置，可轻松移动与固定，适配病房、急诊狭窄通道的移动需求</w:t>
            </w:r>
          </w:p>
          <w:p w14:paraId="0C4B4D4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 台面采用防滑、防水、防刮的医用材质，可放置治疗盘、器械盘，带围栏防止物品滑落，配备输液架、氧气筒放置位</w:t>
            </w:r>
          </w:p>
          <w:p w14:paraId="654691E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 配备垃圾桶、锐器盒放置位，可分类存放医疗垃圾、锐器，符合院感防控要求</w:t>
            </w:r>
          </w:p>
          <w:p w14:paraId="3DDC845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 抽屉带锁或卡扣设计，可防止物品滑落、丢失，整体尺寸适配病房门宽、电梯尺寸，可轻松进出，满足临床治疗、护理操作的多样化需求</w:t>
            </w:r>
          </w:p>
        </w:tc>
      </w:tr>
      <w:tr w14:paraId="1F63A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8AF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E5E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平车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FA9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7B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三、基本功能要求：1.急救应急备用，舱内座位和轮椅位治疗的患者突发病情变化（血氧下降、胸闷、抽搐、晕厥），可快速用平车移出舱外，就地开展抢救、心肺复苏、转运抢救室。</w:t>
            </w:r>
          </w:p>
          <w:p w14:paraId="698CF7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2.头部可抬起。</w:t>
            </w:r>
          </w:p>
        </w:tc>
      </w:tr>
      <w:tr w14:paraId="04594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B0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947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多功能血压计</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24C7">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8A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二、适用范围：适用于门诊就诊人群，患者进诊室前测量血压脉搏，血压数值同步传输至门诊医生工作站；支持高血压分级判定，具备心律不齐提示功能；</w:t>
            </w:r>
          </w:p>
          <w:p w14:paraId="62451A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三、基本功能要求：支持条码、二维码、身份证、社保卡、就诊卡等登录方式，</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实现血压数据的互联互通。患者测量的身高、体重、血压等数据，</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实时对接到HIS、LIS平台，</w:t>
            </w:r>
          </w:p>
          <w:p w14:paraId="6965AE4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医生在医生工作站即可查看，为临床诊断提供有力的数据支持</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有滑轮底座，重量轻巧，便于移动管理</w:t>
            </w:r>
            <w:r>
              <w:rPr>
                <w:rFonts w:hint="eastAsia" w:ascii="宋体" w:hAnsi="宋体" w:cs="宋体"/>
                <w:i w:val="0"/>
                <w:iCs w:val="0"/>
                <w:color w:val="000000"/>
                <w:kern w:val="0"/>
                <w:sz w:val="20"/>
                <w:szCs w:val="20"/>
                <w:u w:val="none"/>
                <w:lang w:val="en-US" w:eastAsia="zh-CN" w:bidi="ar"/>
              </w:rPr>
              <w:t>。</w:t>
            </w:r>
          </w:p>
        </w:tc>
      </w:tr>
      <w:tr w14:paraId="6A46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D3B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2287">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AED除颤仪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83C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1BB0">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诊疗项目：心脏骤停的紧急电击除颤（AED模式），通常可以支持多次除颤治疗，为患者提供安全的就医环境</w:t>
            </w:r>
            <w:r>
              <w:rPr>
                <w:rFonts w:hint="eastAsia" w:ascii="宋体" w:hAnsi="宋体" w:cs="宋体"/>
                <w:i w:val="0"/>
                <w:iCs w:val="0"/>
                <w:color w:val="000000"/>
                <w:kern w:val="0"/>
                <w:sz w:val="20"/>
                <w:szCs w:val="20"/>
                <w:u w:val="none"/>
                <w:lang w:val="en-US" w:eastAsia="zh-CN" w:bidi="ar"/>
              </w:rPr>
              <w:t>。</w:t>
            </w:r>
          </w:p>
          <w:p w14:paraId="0348D3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二、适用范围：适用于各种需要现场急救的场合。</w:t>
            </w:r>
          </w:p>
          <w:p w14:paraId="60F8F8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自动检测和分析患者的心律，识别是否为可除颤心律。当检测到心室纤颤或无脉性心室颤动时，AED会自动向患者的心脏施加电流，以恢复正常的心律。</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通过语音或屏幕提示，指导施救者进行心肺复苏等急救操作</w:t>
            </w:r>
            <w:r>
              <w:rPr>
                <w:rFonts w:hint="eastAsia" w:ascii="宋体" w:hAnsi="宋体" w:cs="宋体"/>
                <w:i w:val="0"/>
                <w:iCs w:val="0"/>
                <w:color w:val="000000"/>
                <w:kern w:val="0"/>
                <w:sz w:val="20"/>
                <w:szCs w:val="20"/>
                <w:u w:val="none"/>
                <w:lang w:val="en-US" w:eastAsia="zh-CN" w:bidi="ar"/>
              </w:rPr>
              <w:t>。</w:t>
            </w:r>
          </w:p>
        </w:tc>
      </w:tr>
      <w:tr w14:paraId="1279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2E3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9FF0">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观片灯</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BBCD">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629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诊疗项目：医学影像胶片（X光、CT、MRI等）的阅片诊断；</w:t>
            </w:r>
          </w:p>
          <w:p w14:paraId="775C57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适用范围：用于门诊诊室医生查看医学影像胶片</w:t>
            </w:r>
          </w:p>
          <w:p w14:paraId="465C2062">
            <w:pPr>
              <w:keepNext w:val="0"/>
              <w:keepLines w:val="0"/>
              <w:widowControl/>
              <w:suppressLineNumbers w:val="0"/>
              <w:jc w:val="left"/>
              <w:textAlignment w:val="center"/>
              <w:rPr>
                <w:rFonts w:hint="eastAsia"/>
                <w:lang w:val="en-US" w:eastAsia="zh-CN"/>
              </w:rPr>
            </w:pPr>
            <w:r>
              <w:rPr>
                <w:rFonts w:hint="eastAsia" w:ascii="宋体" w:hAnsi="宋体" w:eastAsia="宋体" w:cs="宋体"/>
                <w:i w:val="0"/>
                <w:iCs w:val="0"/>
                <w:color w:val="000000"/>
                <w:kern w:val="0"/>
                <w:sz w:val="20"/>
                <w:szCs w:val="20"/>
                <w:u w:val="none"/>
                <w:lang w:val="en-US" w:eastAsia="zh-CN" w:bidi="ar"/>
              </w:rPr>
              <w:t>三、基本功能要求：屏幕尺寸支持常见胶片尺寸，适合医学影像诊断，支持夹片或磁吸式固定，操作简便</w:t>
            </w:r>
          </w:p>
        </w:tc>
      </w:tr>
      <w:tr w14:paraId="1152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DEE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893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抢救车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10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13</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77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二、适用范围：急救药品、器械、物品的集中管理与快速转运</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适用于各种需要现场急救的场合</w:t>
            </w:r>
            <w:r>
              <w:rPr>
                <w:rFonts w:hint="eastAsia" w:ascii="宋体" w:hAnsi="宋体" w:cs="宋体"/>
                <w:i w:val="0"/>
                <w:iCs w:val="0"/>
                <w:color w:val="000000"/>
                <w:kern w:val="0"/>
                <w:sz w:val="20"/>
                <w:szCs w:val="20"/>
                <w:u w:val="none"/>
                <w:lang w:val="en-US" w:eastAsia="zh-CN" w:bidi="ar"/>
              </w:rPr>
              <w:t>；</w:t>
            </w:r>
          </w:p>
          <w:p w14:paraId="5C13D7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抽屉内配备可拆卸药盒/分隔板，便于分类存放急救药品、针剂、输液器、气管插管包等，车身具备推手、脚轮（至少两个带刹车），侧面或背面配备锐器盒支架、免洗消毒液支架、污物桶挂钩，可选配除颤仪平台或输液架插孔，主体材质耐腐蚀、易清洁</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不锈钢或高强度塑料</w:t>
            </w:r>
            <w:r>
              <w:rPr>
                <w:rFonts w:hint="eastAsia" w:ascii="宋体" w:hAnsi="宋体" w:cs="宋体"/>
                <w:i w:val="0"/>
                <w:iCs w:val="0"/>
                <w:color w:val="000000"/>
                <w:kern w:val="0"/>
                <w:sz w:val="20"/>
                <w:szCs w:val="20"/>
                <w:u w:val="none"/>
                <w:lang w:val="en-US" w:eastAsia="zh-CN" w:bidi="ar"/>
              </w:rPr>
              <w:t>材质</w:t>
            </w:r>
          </w:p>
        </w:tc>
      </w:tr>
      <w:tr w14:paraId="22CDB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930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8B84">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肌电诱发电位检测系统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4D9B">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86D1">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诊疗项目：神经传导速度测定</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神经电图（F波、H反射、重复神经电刺激、瞬目反射）</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针极肌电图</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植物神经功能检查</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视诱发电位(VEP)</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体感诱发电位</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运动诱发电位</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事件相关电位</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脑干听觉诱发电位</w:t>
            </w:r>
            <w:r>
              <w:rPr>
                <w:rFonts w:hint="eastAsia" w:ascii="宋体" w:hAnsi="宋体" w:cs="宋体"/>
                <w:i w:val="0"/>
                <w:iCs w:val="0"/>
                <w:color w:val="000000"/>
                <w:kern w:val="0"/>
                <w:sz w:val="20"/>
                <w:szCs w:val="20"/>
                <w:u w:val="none"/>
                <w:lang w:val="en-US" w:eastAsia="zh-CN" w:bidi="ar"/>
              </w:rPr>
              <w:t>等；</w:t>
            </w:r>
          </w:p>
          <w:p w14:paraId="61C0D3BE">
            <w:p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二、适用范围：为重症肌无力、神经内科、内分泌科、神经外科、骨科、眼科、耳鼻喉科、精神科、儿科、康复科等各种神经肌肉疾病提供诊断依据和思路。也可以用于神经肌肉功能方面的研究。</w:t>
            </w:r>
          </w:p>
          <w:p w14:paraId="4E547CE7">
            <w:pP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三、</w:t>
            </w:r>
            <w:r>
              <w:rPr>
                <w:rFonts w:hint="eastAsia" w:ascii="宋体" w:hAnsi="宋体" w:eastAsia="宋体" w:cs="宋体"/>
                <w:i w:val="0"/>
                <w:iCs w:val="0"/>
                <w:color w:val="000000"/>
                <w:kern w:val="0"/>
                <w:sz w:val="20"/>
                <w:szCs w:val="20"/>
                <w:u w:val="none"/>
                <w:lang w:val="en-US" w:eastAsia="zh-CN" w:bidi="ar"/>
              </w:rPr>
              <w:t>基本功能要求：</w:t>
            </w:r>
            <w:r>
              <w:rPr>
                <w:rFonts w:hint="eastAsia" w:ascii="宋体" w:hAnsi="宋体" w:cs="宋体"/>
                <w:i w:val="0"/>
                <w:iCs w:val="0"/>
                <w:color w:val="000000"/>
                <w:kern w:val="0"/>
                <w:sz w:val="20"/>
                <w:szCs w:val="20"/>
                <w:u w:val="none"/>
                <w:lang w:val="en-US" w:eastAsia="zh-CN" w:bidi="ar"/>
              </w:rPr>
              <w:t xml:space="preserve">1. </w:t>
            </w:r>
            <w:r>
              <w:rPr>
                <w:rFonts w:hint="eastAsia" w:ascii="宋体" w:hAnsi="宋体" w:eastAsia="宋体" w:cs="宋体"/>
                <w:i w:val="0"/>
                <w:iCs w:val="0"/>
                <w:color w:val="000000"/>
                <w:kern w:val="0"/>
                <w:sz w:val="20"/>
                <w:szCs w:val="20"/>
                <w:u w:val="none"/>
                <w:lang w:val="en-US" w:eastAsia="zh-CN" w:bidi="ar"/>
              </w:rPr>
              <w:t>神经传导速度测定、神经电图（F波、H反射、重复神经电刺激、瞬目反射）、针极肌电图、植物神经功能检查、视诱发电位、体感诱发电位、运动诱发电位、事件相关电位、脑干听觉诱发电位，震颤分析，前庭肌源性诱发电位。</w:t>
            </w:r>
          </w:p>
          <w:p w14:paraId="759E54B2">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2. </w:t>
            </w:r>
            <w:r>
              <w:rPr>
                <w:rFonts w:hint="eastAsia" w:ascii="宋体" w:hAnsi="宋体" w:eastAsia="宋体" w:cs="宋体"/>
                <w:i w:val="0"/>
                <w:iCs w:val="0"/>
                <w:color w:val="000000"/>
                <w:kern w:val="0"/>
                <w:sz w:val="20"/>
                <w:szCs w:val="20"/>
                <w:u w:val="none"/>
                <w:lang w:val="en-US" w:eastAsia="zh-CN" w:bidi="ar"/>
              </w:rPr>
              <w:t>通道数：≥6通道，采样率：≥100KHz/通道</w:t>
            </w:r>
            <w:r>
              <w:rPr>
                <w:rFonts w:hint="eastAsia" w:ascii="宋体" w:hAnsi="宋体" w:cs="宋体"/>
                <w:i w:val="0"/>
                <w:iCs w:val="0"/>
                <w:color w:val="000000"/>
                <w:kern w:val="0"/>
                <w:sz w:val="20"/>
                <w:szCs w:val="20"/>
                <w:u w:val="none"/>
                <w:lang w:val="en-US" w:eastAsia="zh-CN" w:bidi="ar"/>
              </w:rPr>
              <w:t>；</w:t>
            </w:r>
          </w:p>
          <w:p w14:paraId="1D81FAC1">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3. </w:t>
            </w:r>
            <w:r>
              <w:rPr>
                <w:rFonts w:hint="eastAsia" w:ascii="宋体" w:hAnsi="宋体" w:eastAsia="宋体" w:cs="宋体"/>
                <w:i w:val="0"/>
                <w:iCs w:val="0"/>
                <w:color w:val="000000"/>
                <w:kern w:val="0"/>
                <w:sz w:val="20"/>
                <w:szCs w:val="20"/>
                <w:u w:val="none"/>
                <w:lang w:val="en-US" w:eastAsia="zh-CN" w:bidi="ar"/>
              </w:rPr>
              <w:t>电压灵敏度：0.05uV/div到30mV/div分档控制</w:t>
            </w:r>
            <w:r>
              <w:rPr>
                <w:rFonts w:hint="eastAsia" w:ascii="宋体" w:hAnsi="宋体" w:cs="宋体"/>
                <w:i w:val="0"/>
                <w:iCs w:val="0"/>
                <w:color w:val="000000"/>
                <w:kern w:val="0"/>
                <w:sz w:val="20"/>
                <w:szCs w:val="20"/>
                <w:u w:val="none"/>
                <w:lang w:val="en-US" w:eastAsia="zh-CN" w:bidi="ar"/>
              </w:rPr>
              <w:t>；</w:t>
            </w:r>
          </w:p>
          <w:p w14:paraId="2581FD1F">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4. </w:t>
            </w:r>
            <w:r>
              <w:rPr>
                <w:rFonts w:hint="eastAsia" w:ascii="宋体" w:hAnsi="宋体" w:eastAsia="宋体" w:cs="宋体"/>
                <w:i w:val="0"/>
                <w:iCs w:val="0"/>
                <w:color w:val="000000"/>
                <w:kern w:val="0"/>
                <w:sz w:val="20"/>
                <w:szCs w:val="20"/>
                <w:u w:val="none"/>
                <w:lang w:val="en-US" w:eastAsia="zh-CN" w:bidi="ar"/>
              </w:rPr>
              <w:t>扫描速度测量误差（扫描时程）：0.5ms/D—30000ms/D内</w:t>
            </w:r>
            <w:r>
              <w:rPr>
                <w:rFonts w:hint="eastAsia" w:ascii="宋体" w:hAnsi="宋体" w:cs="宋体"/>
                <w:i w:val="0"/>
                <w:iCs w:val="0"/>
                <w:color w:val="000000"/>
                <w:kern w:val="0"/>
                <w:sz w:val="20"/>
                <w:szCs w:val="20"/>
                <w:u w:val="none"/>
                <w:lang w:val="en-US" w:eastAsia="zh-CN" w:bidi="ar"/>
              </w:rPr>
              <w:t>；</w:t>
            </w:r>
          </w:p>
          <w:p w14:paraId="4A5E52A9">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5. </w:t>
            </w:r>
            <w:r>
              <w:rPr>
                <w:rFonts w:hint="eastAsia" w:ascii="宋体" w:hAnsi="宋体" w:eastAsia="宋体" w:cs="宋体"/>
                <w:i w:val="0"/>
                <w:iCs w:val="0"/>
                <w:color w:val="000000"/>
                <w:kern w:val="0"/>
                <w:sz w:val="20"/>
                <w:szCs w:val="20"/>
                <w:u w:val="none"/>
                <w:lang w:val="en-US" w:eastAsia="zh-CN" w:bidi="ar"/>
              </w:rPr>
              <w:t>扫描时程：1ms-6s，可调节</w:t>
            </w:r>
            <w:r>
              <w:rPr>
                <w:rFonts w:hint="eastAsia" w:ascii="宋体" w:hAnsi="宋体" w:cs="宋体"/>
                <w:i w:val="0"/>
                <w:iCs w:val="0"/>
                <w:color w:val="000000"/>
                <w:kern w:val="0"/>
                <w:sz w:val="20"/>
                <w:szCs w:val="20"/>
                <w:u w:val="none"/>
                <w:lang w:val="en-US" w:eastAsia="zh-CN" w:bidi="ar"/>
              </w:rPr>
              <w:t>；</w:t>
            </w:r>
          </w:p>
          <w:p w14:paraId="167423D4">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6. </w:t>
            </w:r>
            <w:r>
              <w:rPr>
                <w:rFonts w:hint="eastAsia" w:ascii="宋体" w:hAnsi="宋体" w:eastAsia="宋体" w:cs="宋体"/>
                <w:i w:val="0"/>
                <w:iCs w:val="0"/>
                <w:color w:val="000000"/>
                <w:kern w:val="0"/>
                <w:sz w:val="20"/>
                <w:szCs w:val="20"/>
                <w:u w:val="none"/>
                <w:lang w:val="en-US" w:eastAsia="zh-CN" w:bidi="ar"/>
              </w:rPr>
              <w:t>共模抑制比：≥110dB</w:t>
            </w:r>
            <w:r>
              <w:rPr>
                <w:rFonts w:hint="eastAsia" w:ascii="宋体" w:hAnsi="宋体" w:cs="宋体"/>
                <w:i w:val="0"/>
                <w:iCs w:val="0"/>
                <w:color w:val="000000"/>
                <w:kern w:val="0"/>
                <w:sz w:val="20"/>
                <w:szCs w:val="20"/>
                <w:u w:val="none"/>
                <w:lang w:val="en-US" w:eastAsia="zh-CN" w:bidi="ar"/>
              </w:rPr>
              <w:t>；</w:t>
            </w:r>
          </w:p>
          <w:p w14:paraId="246B0C75">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7. </w:t>
            </w:r>
            <w:r>
              <w:rPr>
                <w:rFonts w:hint="eastAsia" w:ascii="宋体" w:hAnsi="宋体" w:eastAsia="宋体" w:cs="宋体"/>
                <w:i w:val="0"/>
                <w:iCs w:val="0"/>
                <w:color w:val="000000"/>
                <w:kern w:val="0"/>
                <w:sz w:val="20"/>
                <w:szCs w:val="20"/>
                <w:u w:val="none"/>
                <w:lang w:val="en-US" w:eastAsia="zh-CN" w:bidi="ar"/>
              </w:rPr>
              <w:t>滤波范围：高通 0.01-100Hz 低通 100Hz-20KHz  标配50Hz陷波滤波</w:t>
            </w:r>
            <w:r>
              <w:rPr>
                <w:rFonts w:hint="eastAsia" w:ascii="宋体" w:hAnsi="宋体" w:cs="宋体"/>
                <w:i w:val="0"/>
                <w:iCs w:val="0"/>
                <w:color w:val="000000"/>
                <w:kern w:val="0"/>
                <w:sz w:val="20"/>
                <w:szCs w:val="20"/>
                <w:u w:val="none"/>
                <w:lang w:val="en-US" w:eastAsia="zh-CN" w:bidi="ar"/>
              </w:rPr>
              <w:t>；</w:t>
            </w:r>
          </w:p>
          <w:p w14:paraId="41FE6D8D">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8. </w:t>
            </w:r>
            <w:r>
              <w:rPr>
                <w:rFonts w:hint="eastAsia" w:ascii="宋体" w:hAnsi="宋体" w:eastAsia="宋体" w:cs="宋体"/>
                <w:i w:val="0"/>
                <w:iCs w:val="0"/>
                <w:color w:val="000000"/>
                <w:kern w:val="0"/>
                <w:sz w:val="20"/>
                <w:szCs w:val="20"/>
                <w:u w:val="none"/>
                <w:lang w:val="en-US" w:eastAsia="zh-CN" w:bidi="ar"/>
              </w:rPr>
              <w:t>电刺激器：绝缘耐压安全</w:t>
            </w:r>
            <w:r>
              <w:rPr>
                <w:rFonts w:hint="eastAsia" w:ascii="宋体" w:hAnsi="宋体" w:cs="宋体"/>
                <w:i w:val="0"/>
                <w:iCs w:val="0"/>
                <w:color w:val="000000"/>
                <w:kern w:val="0"/>
                <w:sz w:val="20"/>
                <w:szCs w:val="20"/>
                <w:u w:val="none"/>
                <w:lang w:val="en-US" w:eastAsia="zh-CN" w:bidi="ar"/>
              </w:rPr>
              <w:t>；</w:t>
            </w:r>
          </w:p>
          <w:p w14:paraId="3999290A">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9. </w:t>
            </w:r>
            <w:r>
              <w:rPr>
                <w:rFonts w:hint="eastAsia" w:ascii="宋体" w:hAnsi="宋体" w:eastAsia="宋体" w:cs="宋体"/>
                <w:i w:val="0"/>
                <w:iCs w:val="0"/>
                <w:color w:val="000000"/>
                <w:kern w:val="0"/>
                <w:sz w:val="20"/>
                <w:szCs w:val="20"/>
                <w:u w:val="none"/>
                <w:lang w:val="en-US" w:eastAsia="zh-CN" w:bidi="ar"/>
              </w:rPr>
              <w:t>耳机声刺激器：最大 Click 声强:≤134dB(SPL 峰值)</w:t>
            </w:r>
            <w:r>
              <w:rPr>
                <w:rFonts w:hint="eastAsia" w:ascii="宋体" w:hAnsi="宋体" w:cs="宋体"/>
                <w:i w:val="0"/>
                <w:iCs w:val="0"/>
                <w:color w:val="000000"/>
                <w:kern w:val="0"/>
                <w:sz w:val="20"/>
                <w:szCs w:val="20"/>
                <w:u w:val="none"/>
                <w:lang w:val="en-US" w:eastAsia="zh-CN" w:bidi="ar"/>
              </w:rPr>
              <w:t>；</w:t>
            </w:r>
          </w:p>
          <w:p w14:paraId="571D66AF">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10. </w:t>
            </w:r>
            <w:r>
              <w:rPr>
                <w:rFonts w:hint="eastAsia" w:ascii="宋体" w:hAnsi="宋体" w:eastAsia="宋体" w:cs="宋体"/>
                <w:i w:val="0"/>
                <w:iCs w:val="0"/>
                <w:color w:val="000000"/>
                <w:kern w:val="0"/>
                <w:sz w:val="20"/>
                <w:szCs w:val="20"/>
                <w:u w:val="none"/>
                <w:lang w:val="en-US" w:eastAsia="zh-CN" w:bidi="ar"/>
              </w:rPr>
              <w:t>视诱发电位：棋盘格翻转刺激和闪光刺激，高清显示器，对比度可调</w:t>
            </w:r>
            <w:r>
              <w:rPr>
                <w:rFonts w:hint="eastAsia" w:ascii="宋体" w:hAnsi="宋体" w:cs="宋体"/>
                <w:i w:val="0"/>
                <w:iCs w:val="0"/>
                <w:color w:val="000000"/>
                <w:kern w:val="0"/>
                <w:sz w:val="20"/>
                <w:szCs w:val="20"/>
                <w:u w:val="none"/>
                <w:lang w:val="en-US" w:eastAsia="zh-CN" w:bidi="ar"/>
              </w:rPr>
              <w:t>；</w:t>
            </w:r>
          </w:p>
          <w:p w14:paraId="64F99848">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11. </w:t>
            </w:r>
            <w:r>
              <w:rPr>
                <w:rFonts w:hint="eastAsia" w:ascii="宋体" w:hAnsi="宋体" w:eastAsia="宋体" w:cs="宋体"/>
                <w:i w:val="0"/>
                <w:iCs w:val="0"/>
                <w:color w:val="000000"/>
                <w:kern w:val="0"/>
                <w:sz w:val="20"/>
                <w:szCs w:val="20"/>
                <w:u w:val="none"/>
                <w:lang w:val="en-US" w:eastAsia="zh-CN" w:bidi="ar"/>
              </w:rPr>
              <w:t>内置视觉和电刺激模块和接口；能够完成神经电图、肌电图、诱发电位等检测项目</w:t>
            </w:r>
            <w:r>
              <w:rPr>
                <w:rFonts w:hint="eastAsia" w:ascii="宋体" w:hAnsi="宋体" w:cs="宋体"/>
                <w:i w:val="0"/>
                <w:iCs w:val="0"/>
                <w:color w:val="000000"/>
                <w:kern w:val="0"/>
                <w:sz w:val="20"/>
                <w:szCs w:val="20"/>
                <w:u w:val="none"/>
                <w:lang w:val="en-US" w:eastAsia="zh-CN" w:bidi="ar"/>
              </w:rPr>
              <w:t>。</w:t>
            </w:r>
          </w:p>
        </w:tc>
      </w:tr>
      <w:tr w14:paraId="29B9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AD2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55FD">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32通道视频脑电图仪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C6F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C356">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诊疗项目：脑电图检查</w:t>
            </w:r>
          </w:p>
          <w:p w14:paraId="1ABE33C1">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适用范围：适用癫痫、脑部疾病、意识障碍评估、精神及神经心理疾病、药物疗效评估等相关疾病监测功能。1-24小时视频脑电图检查。</w:t>
            </w:r>
          </w:p>
          <w:p w14:paraId="4FB982B9">
            <w:p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3、基本功能要求：</w:t>
            </w:r>
          </w:p>
          <w:p w14:paraId="34F63CA7">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1. </w:t>
            </w:r>
            <w:r>
              <w:rPr>
                <w:rFonts w:hint="eastAsia" w:ascii="宋体" w:hAnsi="宋体" w:eastAsia="宋体" w:cs="宋体"/>
                <w:i w:val="0"/>
                <w:iCs w:val="0"/>
                <w:color w:val="000000"/>
                <w:kern w:val="0"/>
                <w:sz w:val="20"/>
                <w:szCs w:val="20"/>
                <w:u w:val="none"/>
                <w:lang w:val="en-US" w:eastAsia="zh-CN" w:bidi="ar"/>
              </w:rPr>
              <w:t>具有视频脑电图监测分析，能同步记录脑电、心电、肌电等多导生理参数，标配闪光刺激器，有与脑电同步记录的高清音视频监控设备。可拓展事件相关电位（ERP）、多导睡眠监测分析等功能。</w:t>
            </w:r>
          </w:p>
          <w:p w14:paraId="464A1C48">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2. </w:t>
            </w:r>
            <w:r>
              <w:rPr>
                <w:rFonts w:hint="eastAsia" w:ascii="宋体" w:hAnsi="宋体" w:eastAsia="宋体" w:cs="宋体"/>
                <w:i w:val="0"/>
                <w:iCs w:val="0"/>
                <w:color w:val="000000"/>
                <w:kern w:val="0"/>
                <w:sz w:val="20"/>
                <w:szCs w:val="20"/>
                <w:u w:val="none"/>
                <w:lang w:val="en-US" w:eastAsia="zh-CN" w:bidi="ar"/>
              </w:rPr>
              <w:t>放大器：≥32通道，有事件标记接口和闪光灯接口；</w:t>
            </w:r>
          </w:p>
          <w:p w14:paraId="61A8E3C8">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3. </w:t>
            </w:r>
            <w:r>
              <w:rPr>
                <w:rFonts w:hint="eastAsia" w:ascii="宋体" w:hAnsi="宋体" w:eastAsia="宋体" w:cs="宋体"/>
                <w:i w:val="0"/>
                <w:iCs w:val="0"/>
                <w:color w:val="000000"/>
                <w:kern w:val="0"/>
                <w:sz w:val="20"/>
                <w:szCs w:val="20"/>
                <w:u w:val="none"/>
                <w:lang w:val="en-US" w:eastAsia="zh-CN" w:bidi="ar"/>
              </w:rPr>
              <w:t>共模抑制比：≥120dB；</w:t>
            </w:r>
          </w:p>
          <w:p w14:paraId="34D75C30">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4. </w:t>
            </w:r>
            <w:r>
              <w:rPr>
                <w:rFonts w:hint="eastAsia" w:ascii="宋体" w:hAnsi="宋体" w:eastAsia="宋体" w:cs="宋体"/>
                <w:i w:val="0"/>
                <w:iCs w:val="0"/>
                <w:color w:val="000000"/>
                <w:kern w:val="0"/>
                <w:sz w:val="20"/>
                <w:szCs w:val="20"/>
                <w:u w:val="none"/>
                <w:lang w:val="en-US" w:eastAsia="zh-CN" w:bidi="ar"/>
              </w:rPr>
              <w:t>采样频率：≥2048Hz；</w:t>
            </w:r>
          </w:p>
          <w:p w14:paraId="21378B86">
            <w:pPr>
              <w:rPr>
                <w:rFonts w:hint="eastAsia"/>
                <w:lang w:eastAsia="zh-CN"/>
              </w:rPr>
            </w:pPr>
            <w:r>
              <w:rPr>
                <w:rFonts w:hint="eastAsia" w:ascii="宋体" w:hAnsi="宋体" w:cs="宋体"/>
                <w:i w:val="0"/>
                <w:iCs w:val="0"/>
                <w:color w:val="000000"/>
                <w:kern w:val="0"/>
                <w:sz w:val="20"/>
                <w:szCs w:val="20"/>
                <w:u w:val="none"/>
                <w:lang w:val="en-US" w:eastAsia="zh-CN" w:bidi="ar"/>
              </w:rPr>
              <w:t xml:space="preserve">5. </w:t>
            </w:r>
            <w:r>
              <w:rPr>
                <w:rFonts w:hint="eastAsia" w:ascii="宋体" w:hAnsi="宋体" w:eastAsia="宋体" w:cs="宋体"/>
                <w:i w:val="0"/>
                <w:iCs w:val="0"/>
                <w:color w:val="000000"/>
                <w:kern w:val="0"/>
                <w:sz w:val="20"/>
                <w:szCs w:val="20"/>
                <w:u w:val="none"/>
                <w:lang w:val="en-US" w:eastAsia="zh-CN" w:bidi="ar"/>
              </w:rPr>
              <w:t>数模转换：≥24bit。</w:t>
            </w:r>
          </w:p>
        </w:tc>
      </w:tr>
      <w:tr w14:paraId="1D90C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36B8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45</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F827">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医用事件相关电位仪</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A624">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21BB">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一、</w:t>
            </w:r>
            <w:r>
              <w:rPr>
                <w:rFonts w:hint="eastAsia" w:ascii="宋体" w:hAnsi="宋体" w:eastAsia="宋体" w:cs="宋体"/>
                <w:i w:val="0"/>
                <w:iCs w:val="0"/>
                <w:color w:val="000000"/>
                <w:kern w:val="0"/>
                <w:sz w:val="20"/>
                <w:szCs w:val="20"/>
                <w:u w:val="none"/>
                <w:lang w:val="en-US" w:eastAsia="zh-CN" w:bidi="ar"/>
              </w:rPr>
              <w:t>诊疗项目：事件相关电位</w:t>
            </w:r>
          </w:p>
          <w:p w14:paraId="22838FA9">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适用范围：事件相关电位</w:t>
            </w:r>
            <w:r>
              <w:rPr>
                <w:rFonts w:hint="eastAsia" w:ascii="宋体" w:hAnsi="宋体" w:cs="宋体"/>
                <w:i w:val="0"/>
                <w:iCs w:val="0"/>
                <w:color w:val="000000"/>
                <w:kern w:val="0"/>
                <w:sz w:val="20"/>
                <w:szCs w:val="20"/>
                <w:u w:val="none"/>
                <w:lang w:val="en-US" w:eastAsia="zh-CN" w:bidi="ar"/>
              </w:rPr>
              <w:t>仪</w:t>
            </w:r>
            <w:r>
              <w:rPr>
                <w:rFonts w:hint="eastAsia" w:ascii="宋体" w:hAnsi="宋体" w:eastAsia="宋体" w:cs="宋体"/>
                <w:i w:val="0"/>
                <w:iCs w:val="0"/>
                <w:color w:val="000000"/>
                <w:kern w:val="0"/>
                <w:sz w:val="20"/>
                <w:szCs w:val="20"/>
                <w:u w:val="none"/>
                <w:lang w:val="en-US" w:eastAsia="zh-CN" w:bidi="ar"/>
              </w:rPr>
              <w:t>是在含有信息刺激诱发下的大脑生物电位，对患者进行大脑认知功能的辅助诊断。可用于意识障碍、认知障碍、精神分裂症等疾病的辅助诊断，提供客观依据。</w:t>
            </w:r>
          </w:p>
          <w:p w14:paraId="0B569DDB">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三、</w:t>
            </w:r>
            <w:r>
              <w:rPr>
                <w:rFonts w:hint="eastAsia" w:ascii="宋体" w:hAnsi="宋体" w:eastAsia="宋体" w:cs="宋体"/>
                <w:i w:val="0"/>
                <w:iCs w:val="0"/>
                <w:color w:val="000000"/>
                <w:kern w:val="0"/>
                <w:sz w:val="20"/>
                <w:szCs w:val="20"/>
                <w:u w:val="none"/>
                <w:lang w:val="en-US" w:eastAsia="zh-CN" w:bidi="ar"/>
              </w:rPr>
              <w:t>基本功能要求：</w:t>
            </w:r>
          </w:p>
          <w:p w14:paraId="2BBD48B2">
            <w:pP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1. </w:t>
            </w:r>
            <w:r>
              <w:rPr>
                <w:rFonts w:hint="eastAsia" w:ascii="宋体" w:hAnsi="宋体" w:eastAsia="宋体" w:cs="宋体"/>
                <w:i w:val="0"/>
                <w:iCs w:val="0"/>
                <w:color w:val="000000"/>
                <w:kern w:val="0"/>
                <w:sz w:val="20"/>
                <w:szCs w:val="20"/>
                <w:u w:val="none"/>
                <w:lang w:val="en-US" w:eastAsia="zh-CN" w:bidi="ar"/>
              </w:rPr>
              <w:t>内置MMN、P300、N100等试验范式，支持常规脑电采集，</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打印检测报告，</w:t>
            </w:r>
            <w:r>
              <w:rPr>
                <w:rFonts w:hint="eastAsia" w:ascii="宋体" w:hAnsi="宋体" w:cs="宋体"/>
                <w:i w:val="0"/>
                <w:iCs w:val="0"/>
                <w:color w:val="000000"/>
                <w:kern w:val="0"/>
                <w:sz w:val="20"/>
                <w:szCs w:val="20"/>
                <w:u w:val="none"/>
                <w:lang w:val="en-US" w:eastAsia="zh-CN" w:bidi="ar"/>
              </w:rPr>
              <w:t>配备</w:t>
            </w:r>
            <w:r>
              <w:rPr>
                <w:rFonts w:hint="eastAsia" w:ascii="宋体" w:hAnsi="宋体" w:eastAsia="宋体" w:cs="宋体"/>
                <w:i w:val="0"/>
                <w:iCs w:val="0"/>
                <w:color w:val="000000"/>
                <w:kern w:val="0"/>
                <w:sz w:val="20"/>
                <w:szCs w:val="20"/>
                <w:u w:val="none"/>
                <w:lang w:val="en-US" w:eastAsia="zh-CN" w:bidi="ar"/>
              </w:rPr>
              <w:t>高保真耳机</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可充电电池及可移动台车</w:t>
            </w:r>
            <w:r>
              <w:rPr>
                <w:rFonts w:hint="eastAsia" w:ascii="宋体" w:hAnsi="宋体" w:cs="宋体"/>
                <w:i w:val="0"/>
                <w:iCs w:val="0"/>
                <w:color w:val="000000"/>
                <w:kern w:val="0"/>
                <w:sz w:val="20"/>
                <w:szCs w:val="20"/>
                <w:u w:val="none"/>
                <w:lang w:val="en-US" w:eastAsia="zh-CN" w:bidi="ar"/>
              </w:rPr>
              <w:t>；</w:t>
            </w:r>
          </w:p>
          <w:p w14:paraId="01CB7CD3">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2. </w:t>
            </w:r>
            <w:r>
              <w:rPr>
                <w:rFonts w:hint="eastAsia" w:ascii="宋体" w:hAnsi="宋体" w:eastAsia="宋体" w:cs="宋体"/>
                <w:i w:val="0"/>
                <w:iCs w:val="0"/>
                <w:color w:val="000000"/>
                <w:kern w:val="0"/>
                <w:sz w:val="20"/>
                <w:szCs w:val="20"/>
                <w:u w:val="none"/>
                <w:lang w:val="en-US" w:eastAsia="zh-CN" w:bidi="ar"/>
              </w:rPr>
              <w:t>放大器通道：≥8通道；</w:t>
            </w:r>
          </w:p>
          <w:p w14:paraId="16DE6CC3">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3. </w:t>
            </w:r>
            <w:r>
              <w:rPr>
                <w:rFonts w:hint="eastAsia" w:ascii="宋体" w:hAnsi="宋体" w:eastAsia="宋体" w:cs="宋体"/>
                <w:i w:val="0"/>
                <w:iCs w:val="0"/>
                <w:color w:val="000000"/>
                <w:kern w:val="0"/>
                <w:sz w:val="20"/>
                <w:szCs w:val="20"/>
                <w:u w:val="none"/>
                <w:lang w:val="en-US" w:eastAsia="zh-CN" w:bidi="ar"/>
              </w:rPr>
              <w:t>A/D转换：≥24bits；</w:t>
            </w:r>
          </w:p>
          <w:p w14:paraId="2D72BA9F">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4. </w:t>
            </w:r>
            <w:r>
              <w:rPr>
                <w:rFonts w:hint="eastAsia" w:ascii="宋体" w:hAnsi="宋体" w:eastAsia="宋体" w:cs="宋体"/>
                <w:i w:val="0"/>
                <w:iCs w:val="0"/>
                <w:color w:val="000000"/>
                <w:kern w:val="0"/>
                <w:sz w:val="20"/>
                <w:szCs w:val="20"/>
                <w:u w:val="none"/>
                <w:lang w:val="en-US" w:eastAsia="zh-CN" w:bidi="ar"/>
              </w:rPr>
              <w:t>输入阻抗：≥10MΩ；</w:t>
            </w:r>
          </w:p>
          <w:p w14:paraId="03EA2DE7">
            <w:pP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 xml:space="preserve">5. </w:t>
            </w:r>
            <w:r>
              <w:rPr>
                <w:rFonts w:hint="eastAsia" w:ascii="宋体" w:hAnsi="宋体" w:eastAsia="宋体" w:cs="宋体"/>
                <w:i w:val="0"/>
                <w:iCs w:val="0"/>
                <w:color w:val="000000"/>
                <w:kern w:val="0"/>
                <w:sz w:val="20"/>
                <w:szCs w:val="20"/>
                <w:u w:val="none"/>
                <w:lang w:val="en-US" w:eastAsia="zh-CN" w:bidi="ar"/>
              </w:rPr>
              <w:t>采样率：≥4000Hz（各通道同步采集）；</w:t>
            </w:r>
          </w:p>
          <w:p w14:paraId="0D4CE305">
            <w:pPr>
              <w:rPr>
                <w:rFonts w:hint="eastAsia"/>
                <w:lang w:eastAsia="zh-CN"/>
              </w:rPr>
            </w:pPr>
            <w:r>
              <w:rPr>
                <w:rFonts w:hint="eastAsia" w:ascii="宋体" w:hAnsi="宋体" w:cs="宋体"/>
                <w:i w:val="0"/>
                <w:iCs w:val="0"/>
                <w:color w:val="000000"/>
                <w:kern w:val="0"/>
                <w:sz w:val="20"/>
                <w:szCs w:val="20"/>
                <w:u w:val="none"/>
                <w:lang w:val="en-US" w:eastAsia="zh-CN" w:bidi="ar"/>
              </w:rPr>
              <w:t xml:space="preserve">6. </w:t>
            </w:r>
            <w:r>
              <w:rPr>
                <w:rFonts w:hint="eastAsia" w:ascii="宋体" w:hAnsi="宋体" w:eastAsia="宋体" w:cs="宋体"/>
                <w:i w:val="0"/>
                <w:iCs w:val="0"/>
                <w:color w:val="000000"/>
                <w:kern w:val="0"/>
                <w:sz w:val="20"/>
                <w:szCs w:val="20"/>
                <w:u w:val="none"/>
                <w:lang w:val="en-US" w:eastAsia="zh-CN" w:bidi="ar"/>
              </w:rPr>
              <w:t>共模抑制比：≥90dB。</w:t>
            </w:r>
          </w:p>
        </w:tc>
      </w:tr>
      <w:tr w14:paraId="66785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F6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46</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FA8D">
            <w:pPr>
              <w:keepNext w:val="0"/>
              <w:keepLines w:val="0"/>
              <w:widowControl/>
              <w:numPr>
                <w:ilvl w:val="0"/>
                <w:numId w:val="0"/>
              </w:numPr>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医疗检查椅</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99CD">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61F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适用范围：适用于脑电图检查时患者用座椅</w:t>
            </w:r>
          </w:p>
          <w:p w14:paraId="06291EBE">
            <w:pPr>
              <w:keepNext w:val="0"/>
              <w:keepLines w:val="0"/>
              <w:widowControl/>
              <w:numPr>
                <w:ilvl w:val="0"/>
                <w:numId w:val="2"/>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基本功能要求：</w:t>
            </w:r>
          </w:p>
          <w:p w14:paraId="2B45188B">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结构：钢制底架，静态承重 ≥135 kg，带锁止脚轮或防滑脚垫；</w:t>
            </w:r>
          </w:p>
          <w:p w14:paraId="641B9F41">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体位：三段式（背/座/腿）或电动背倾，靠背可调至 ≥160°（长程脑电可卧）；</w:t>
            </w:r>
          </w:p>
          <w:p w14:paraId="5F77579D">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升降：座高 550–780 mm 可调（电动/液压/气压均可）；</w:t>
            </w:r>
          </w:p>
          <w:p w14:paraId="2D211925">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扶手：双侧固定或可调扶手，便于电极走线不挡肩颈；</w:t>
            </w:r>
          </w:p>
          <w:p w14:paraId="01666E0A">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面料：医用 PU/PVC，可酒精擦拭，海绵密度 ≥35 kg/m³；</w:t>
            </w:r>
          </w:p>
          <w:p w14:paraId="5B5FD8F6">
            <w:pPr>
              <w:keepNext w:val="0"/>
              <w:keepLines w:val="0"/>
              <w:widowControl/>
              <w:numPr>
                <w:ilvl w:val="0"/>
                <w:numId w:val="3"/>
              </w:numPr>
              <w:suppressLineNumbers w:val="0"/>
              <w:ind w:left="0" w:leftChars="0" w:firstLine="0" w:firstLine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非磁性：五金件非铁磁（不锈钢/铝）；</w:t>
            </w:r>
          </w:p>
          <w:p w14:paraId="36135200">
            <w:pPr>
              <w:keepNext w:val="0"/>
              <w:keepLines w:val="0"/>
              <w:widowControl/>
              <w:numPr>
                <w:ilvl w:val="0"/>
                <w:numId w:val="3"/>
              </w:numPr>
              <w:suppressLineNumbers w:val="0"/>
              <w:ind w:left="0" w:leftChars="0" w:firstLine="0" w:firstLineChars="0"/>
              <w:jc w:val="left"/>
              <w:textAlignment w:val="center"/>
              <w:rPr>
                <w:rFonts w:hint="eastAsia"/>
                <w:lang w:eastAsia="zh-CN"/>
              </w:rPr>
            </w:pPr>
            <w:r>
              <w:rPr>
                <w:rFonts w:hint="eastAsia" w:ascii="宋体" w:hAnsi="宋体" w:eastAsia="宋体" w:cs="宋体"/>
                <w:i w:val="0"/>
                <w:iCs w:val="0"/>
                <w:color w:val="000000"/>
                <w:kern w:val="0"/>
                <w:sz w:val="20"/>
                <w:szCs w:val="20"/>
                <w:u w:val="none"/>
                <w:lang w:val="en-US" w:eastAsia="zh-CN" w:bidi="ar"/>
              </w:rPr>
              <w:t>符合院感清洁要求。</w:t>
            </w:r>
          </w:p>
        </w:tc>
      </w:tr>
      <w:tr w14:paraId="6F8A9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917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47</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6FA9">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多导联心电分析系统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4FB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B8B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一、诊疗项目：常规心电图检查</w:t>
            </w:r>
          </w:p>
          <w:p w14:paraId="0DAEB7E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二、适用范围：用于筛查、诊断、监测心脏电异常与结构/功能改变，覆盖从健康体检到急危重症的全场景。</w:t>
            </w:r>
          </w:p>
          <w:p w14:paraId="0731FE8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w:t>
            </w:r>
          </w:p>
          <w:p w14:paraId="7939CAC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1.心电数据采集：要求设备小巧轻便，支持12导心电图同步采集，便于门诊心电图采集</w:t>
            </w:r>
          </w:p>
          <w:p w14:paraId="30F6384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2.心电数据显示：具备待检查医嘱信息列表显示功能，可在设备显示待检查患者医嘱列表</w:t>
            </w:r>
          </w:p>
          <w:p w14:paraId="08B23A3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3.显示模式：支持多种显示模式</w:t>
            </w:r>
          </w:p>
          <w:p w14:paraId="6BC6DBC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4.系统登录：提供用户名/工号+密码、扫二维码、急诊登录等多种登录模式</w:t>
            </w:r>
          </w:p>
          <w:p w14:paraId="4D75BF3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5.消息实时提醒：如危急报告提醒、诊断退回提醒、导联纠错提醒、诊断完成提醒</w:t>
            </w:r>
          </w:p>
          <w:p w14:paraId="498211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6.通讯与传输：可直接接入院内心电网络系统，实现数据传输与存储</w:t>
            </w:r>
          </w:p>
        </w:tc>
      </w:tr>
      <w:tr w14:paraId="536BE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6029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48</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CC4E">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动态心电记录器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CE5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C99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一、诊疗项目：动态心电图检查</w:t>
            </w:r>
          </w:p>
          <w:p w14:paraId="20E44E4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无创伤、动态的、常态下长时间连续记录。用于心律失常、心肌缺血的辅助筛查与诊断；适用于不明原因心悸、胸闷、头晕、黑朦、晕厥人群及心血管病患者、术后、用药疗效、起搏器功能监测与健康体检心电筛查。</w:t>
            </w:r>
          </w:p>
          <w:p w14:paraId="3ADA15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三、基本功能要求：1.记录时间：1-15天或更大范围</w:t>
            </w:r>
          </w:p>
          <w:p w14:paraId="2109751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2.支持体位运动信息监测</w:t>
            </w:r>
          </w:p>
          <w:p w14:paraId="160DE79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3.采样率：≥32000Hz；</w:t>
            </w:r>
          </w:p>
          <w:p w14:paraId="78B2399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4.A/D转换精度：≥24位；</w:t>
            </w:r>
          </w:p>
          <w:p w14:paraId="781C157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5.存储容量：≥8GB；</w:t>
            </w:r>
          </w:p>
          <w:p w14:paraId="0BA8F2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6.电池欠压检测：自动检测电池电量，提示报警电池电量不足；</w:t>
            </w:r>
          </w:p>
          <w:p w14:paraId="6F3AE0C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7.导联数目：3导、12导联二合一；</w:t>
            </w:r>
          </w:p>
          <w:p w14:paraId="62DDA11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8.数据回放：USB2.0通讯电缆、USB3.0读卡器、无线蓝牙等传输方式；</w:t>
            </w:r>
          </w:p>
          <w:p w14:paraId="22E74F6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9.具备特殊事件按钮</w:t>
            </w:r>
            <w:r>
              <w:rPr>
                <w:rFonts w:hint="eastAsia" w:ascii="宋体" w:hAnsi="宋体" w:cs="宋体"/>
                <w:i w:val="0"/>
                <w:iCs w:val="0"/>
                <w:color w:val="000000"/>
                <w:kern w:val="0"/>
                <w:sz w:val="20"/>
                <w:szCs w:val="20"/>
                <w:u w:val="none"/>
                <w:lang w:val="en-US" w:eastAsia="zh-CN" w:bidi="ar"/>
              </w:rPr>
              <w:t>；</w:t>
            </w:r>
          </w:p>
          <w:p w14:paraId="734FB55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10.支持在记录中途可更换电池接连记录；</w:t>
            </w:r>
          </w:p>
          <w:p w14:paraId="5A95555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11.记录器内置除颤保护功能。</w:t>
            </w:r>
          </w:p>
          <w:p w14:paraId="178D9C0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12.重量≤75克。</w:t>
            </w:r>
          </w:p>
          <w:p w14:paraId="51DFDD3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13.具备数据保护功能,未经分析数据格式化前提示功能，防止错误删除。</w:t>
            </w:r>
          </w:p>
          <w:p w14:paraId="774E7FB4">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14.记录器兼容科室目前使用的动态心电分析系统。</w:t>
            </w:r>
          </w:p>
        </w:tc>
      </w:tr>
      <w:tr w14:paraId="56EDC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944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49</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64AF">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动态血压记录器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280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30</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BD9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一、诊疗项目：无创动态血压监测</w:t>
            </w:r>
          </w:p>
          <w:p w14:paraId="4D5A25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二、适用范围：用于高血压辅助诊断、血压昼夜节律分析、白大衣高血压与隐匿性高血压鉴别，以及高血压患者用药疗效评估、血压波动监测和健康体检筛查。</w:t>
            </w:r>
          </w:p>
          <w:p w14:paraId="4F0417F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三、基本功能要求：1.24小时动态血压进行无创、间歇性自动监测与记录，可连续采集日间、夜间及全天收缩压、舒张压、心率数据。</w:t>
            </w:r>
          </w:p>
          <w:p w14:paraId="59D5BE9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2.测量范围：收缩压：55～ 255 mmHg，舒张压：30～ 195 mmHg，脉率测量范围：30bpm~240bpm，测量精度：±3mmHg；</w:t>
            </w:r>
          </w:p>
          <w:p w14:paraId="1744638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3.传输方式：内置式USB，Type-C接口、免驱动；</w:t>
            </w:r>
          </w:p>
          <w:p w14:paraId="065ECDF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4</w:t>
            </w:r>
            <w:r>
              <w:rPr>
                <w:rFonts w:hint="eastAsia" w:ascii="宋体" w:hAnsi="宋体" w:eastAsia="宋体" w:cs="宋体"/>
                <w:i w:val="0"/>
                <w:iCs w:val="0"/>
                <w:color w:val="000000"/>
                <w:kern w:val="0"/>
                <w:sz w:val="20"/>
                <w:szCs w:val="20"/>
                <w:u w:val="none"/>
                <w:lang w:val="en-US" w:eastAsia="zh-CN" w:bidi="ar"/>
              </w:rPr>
              <w:t>.测量时间：至少24小时；</w:t>
            </w:r>
          </w:p>
          <w:p w14:paraId="26C0116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.具有抗运动干扰功能</w:t>
            </w:r>
          </w:p>
          <w:p w14:paraId="15827DD5">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.测量间隔：2-240分钟至少12种间隔可选；</w:t>
            </w:r>
          </w:p>
          <w:p w14:paraId="3734920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7</w:t>
            </w:r>
            <w:r>
              <w:rPr>
                <w:rFonts w:hint="eastAsia" w:ascii="宋体" w:hAnsi="宋体" w:eastAsia="宋体" w:cs="宋体"/>
                <w:i w:val="0"/>
                <w:iCs w:val="0"/>
                <w:color w:val="000000"/>
                <w:kern w:val="0"/>
                <w:sz w:val="20"/>
                <w:szCs w:val="20"/>
                <w:u w:val="none"/>
                <w:lang w:val="en-US" w:eastAsia="zh-CN" w:bidi="ar"/>
              </w:rPr>
              <w:t>.可全程记录脉搏波；</w:t>
            </w:r>
          </w:p>
          <w:p w14:paraId="5A30CA6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.既支持佩戴前录入病历信息又支持佩戴后录入病历信息；</w:t>
            </w:r>
          </w:p>
          <w:p w14:paraId="24F04EF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9</w:t>
            </w:r>
            <w:r>
              <w:rPr>
                <w:rFonts w:hint="eastAsia" w:ascii="宋体" w:hAnsi="宋体" w:eastAsia="宋体" w:cs="宋体"/>
                <w:i w:val="0"/>
                <w:iCs w:val="0"/>
                <w:color w:val="000000"/>
                <w:kern w:val="0"/>
                <w:sz w:val="20"/>
                <w:szCs w:val="20"/>
                <w:u w:val="none"/>
                <w:lang w:val="en-US" w:eastAsia="zh-CN" w:bidi="ar"/>
              </w:rPr>
              <w:t xml:space="preserve">.能提取前次病历数据； </w:t>
            </w:r>
          </w:p>
          <w:p w14:paraId="5B4B670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0</w:t>
            </w:r>
            <w:r>
              <w:rPr>
                <w:rFonts w:hint="eastAsia" w:ascii="宋体" w:hAnsi="宋体" w:eastAsia="宋体" w:cs="宋体"/>
                <w:i w:val="0"/>
                <w:iCs w:val="0"/>
                <w:color w:val="000000"/>
                <w:kern w:val="0"/>
                <w:sz w:val="20"/>
                <w:szCs w:val="20"/>
                <w:u w:val="none"/>
                <w:lang w:val="en-US" w:eastAsia="zh-CN" w:bidi="ar"/>
              </w:rPr>
              <w:t>.测量方式：震荡示波法（充气过程中完成测量）</w:t>
            </w:r>
          </w:p>
          <w:p w14:paraId="5E01BE0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分析系统 ：</w:t>
            </w:r>
          </w:p>
          <w:p w14:paraId="359E0579">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1.脉搏波全程数据查看，可添加注解并打印；</w:t>
            </w:r>
          </w:p>
          <w:p w14:paraId="1E3B924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2.自动评估血压数据干扰度等级；</w:t>
            </w:r>
          </w:p>
          <w:p w14:paraId="0E5CF9D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3.可手动编辑数据，重新自动计算收缩压、舒张压； </w:t>
            </w:r>
          </w:p>
          <w:p w14:paraId="161A424F">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4.提供趋势图、直方图、条形图、散点图、饼图等多种可联动图文统计报表；</w:t>
            </w:r>
          </w:p>
          <w:p w14:paraId="5F958A0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.支持医疗数据远程网络传输与管理。</w:t>
            </w:r>
          </w:p>
        </w:tc>
      </w:tr>
      <w:tr w14:paraId="69701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4E6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50</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BEBE">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运动心肺测试系统</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7360">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F02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一、诊疗项目：运动心肺功能检查</w:t>
            </w:r>
          </w:p>
          <w:p w14:paraId="2EE52A16">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二、适用范围：评估人体在运动负荷下心肺、循环及骨骼肌整体功能的无创 “金标准” 工具，适用范围覆盖临床诊疗、康复指导、术前评估、运动医学及公共健康领域。</w:t>
            </w:r>
          </w:p>
          <w:p w14:paraId="0FAE6D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三、基本功能要求：1.可进行流量、氧气和二氧化碳成分测量；</w:t>
            </w:r>
          </w:p>
          <w:p w14:paraId="26818FA8">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2.具备静态/动态肺功能测试；</w:t>
            </w:r>
          </w:p>
          <w:p w14:paraId="5C695F67">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3.可进行基础/营养代谢测定及分析；</w:t>
            </w:r>
          </w:p>
          <w:p w14:paraId="5AD831B2">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4.可进行静息/运动心电图测量及分析；</w:t>
            </w:r>
          </w:p>
          <w:p w14:paraId="4E33D1F1">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5.可进行运动血压测量和监控；</w:t>
            </w:r>
          </w:p>
          <w:p w14:paraId="3DAD379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6.可进行血氧饱和度测量和监控；</w:t>
            </w:r>
          </w:p>
          <w:p w14:paraId="784966C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7.可进行无创心排量测量（Wasserman）；</w:t>
            </w:r>
          </w:p>
          <w:p w14:paraId="26ED01D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8.可出具 ACSM 运动处方；</w:t>
            </w:r>
          </w:p>
          <w:p w14:paraId="53EC9E7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9.具备数据多维度导出功能；</w:t>
            </w:r>
          </w:p>
          <w:p w14:paraId="0428FD2D">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10.测试数据患者端与主机之间无线传输；</w:t>
            </w:r>
          </w:p>
          <w:p w14:paraId="1941476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11.测试过程中有音视频的导航。</w:t>
            </w:r>
          </w:p>
        </w:tc>
      </w:tr>
      <w:tr w14:paraId="0459F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10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2DD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902</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51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FFE4">
            <w:pPr>
              <w:keepNext w:val="0"/>
              <w:keepLines w:val="0"/>
              <w:widowControl/>
              <w:numPr>
                <w:ilvl w:val="0"/>
                <w:numId w:val="0"/>
              </w:numPr>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5E19">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07D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一、诊疗项目：临床操作的彩色多普勒超声引导</w:t>
            </w:r>
          </w:p>
          <w:p w14:paraId="3120520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                                                                                             1、在超声的引导下实时显示穿刺过程，可提高注射的准确性，并显著减少并发症，</w:t>
            </w:r>
            <w:r>
              <w:rPr>
                <w:rFonts w:hint="eastAsia" w:ascii="宋体" w:hAnsi="宋体" w:cs="宋体"/>
                <w:i w:val="0"/>
                <w:iCs w:val="0"/>
                <w:color w:val="000000"/>
                <w:kern w:val="0"/>
                <w:sz w:val="20"/>
                <w:szCs w:val="20"/>
                <w:u w:val="none"/>
                <w:lang w:val="en-US" w:eastAsia="zh-CN" w:bidi="ar"/>
              </w:rPr>
              <w:t>可</w:t>
            </w:r>
            <w:r>
              <w:rPr>
                <w:rFonts w:hint="eastAsia" w:ascii="宋体" w:hAnsi="宋体" w:eastAsia="宋体" w:cs="宋体"/>
                <w:i w:val="0"/>
                <w:iCs w:val="0"/>
                <w:color w:val="000000"/>
                <w:kern w:val="0"/>
                <w:sz w:val="20"/>
                <w:szCs w:val="20"/>
                <w:u w:val="none"/>
                <w:lang w:val="en-US" w:eastAsia="zh-CN" w:bidi="ar"/>
              </w:rPr>
              <w:t>提升如大角度注射、神经阻滞（四肢、脊柱周围、胸腹部、局部疼痛）和硬膜外麻醉等的精度和效率。</w:t>
            </w:r>
          </w:p>
          <w:p w14:paraId="6B1B2E0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2、超声引导下可显著降低血管穿刺并发症，包括误入动脉或静脉穿刺，出血，气胸，气道压迫和神经损伤。对于血管变异可通过超声检查，迅速判断其走向，实现精准穿刺。 </w:t>
            </w:r>
          </w:p>
          <w:p w14:paraId="42ABC38B">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3、超声在手术室中急诊手术病人的脏器检查，如肝脏、肾脏、脾脏等检查</w:t>
            </w:r>
          </w:p>
          <w:p w14:paraId="407F1CAC">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                                                                                        1.彩色显示屏：≥16.5寸电容式触摸屏，防眩、全尺寸、高灵敏度，支持单点、多点、滑动、缩放操作</w:t>
            </w:r>
            <w:r>
              <w:rPr>
                <w:rFonts w:hint="eastAsia" w:ascii="宋体" w:hAnsi="宋体" w:cs="宋体"/>
                <w:i w:val="0"/>
                <w:iCs w:val="0"/>
                <w:color w:val="000000"/>
                <w:kern w:val="0"/>
                <w:sz w:val="20"/>
                <w:szCs w:val="20"/>
                <w:u w:val="none"/>
                <w:lang w:val="en-US" w:eastAsia="zh-CN" w:bidi="ar"/>
              </w:rPr>
              <w:t>；</w:t>
            </w:r>
          </w:p>
          <w:p w14:paraId="5FF63AFA">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2.主机内置电池的续航时间（实时连续非冻结下扫查）：≥380分钟</w:t>
            </w:r>
            <w:r>
              <w:rPr>
                <w:rFonts w:hint="eastAsia" w:ascii="宋体" w:hAnsi="宋体" w:cs="宋体"/>
                <w:i w:val="0"/>
                <w:iCs w:val="0"/>
                <w:color w:val="000000"/>
                <w:kern w:val="0"/>
                <w:sz w:val="20"/>
                <w:szCs w:val="20"/>
                <w:u w:val="none"/>
                <w:lang w:val="en-US" w:eastAsia="zh-CN" w:bidi="ar"/>
              </w:rPr>
              <w:t>；</w:t>
            </w:r>
          </w:p>
          <w:p w14:paraId="71F47020">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3.台车支持电动升降</w:t>
            </w:r>
            <w:r>
              <w:rPr>
                <w:rFonts w:hint="eastAsia" w:ascii="宋体" w:hAnsi="宋体" w:cs="宋体"/>
                <w:i w:val="0"/>
                <w:iCs w:val="0"/>
                <w:color w:val="000000"/>
                <w:kern w:val="0"/>
                <w:sz w:val="20"/>
                <w:szCs w:val="20"/>
                <w:u w:val="none"/>
                <w:lang w:val="en-US" w:eastAsia="zh-CN" w:bidi="ar"/>
              </w:rPr>
              <w:t>；</w:t>
            </w:r>
          </w:p>
          <w:p w14:paraId="5A2E6713">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r>
              <w:rPr>
                <w:rFonts w:hint="eastAsia" w:ascii="宋体" w:hAnsi="宋体" w:cs="宋体"/>
                <w:i w:val="0"/>
                <w:iCs w:val="0"/>
                <w:color w:val="000000"/>
                <w:kern w:val="0"/>
                <w:sz w:val="20"/>
                <w:szCs w:val="20"/>
                <w:u w:val="none"/>
                <w:lang w:val="en-US" w:eastAsia="zh-CN" w:bidi="ar"/>
              </w:rPr>
              <w:t>配备</w:t>
            </w:r>
            <w:r>
              <w:rPr>
                <w:rFonts w:hint="eastAsia" w:ascii="宋体" w:hAnsi="宋体" w:eastAsia="宋体" w:cs="宋体"/>
                <w:i w:val="0"/>
                <w:iCs w:val="0"/>
                <w:color w:val="000000"/>
                <w:kern w:val="0"/>
                <w:sz w:val="20"/>
                <w:szCs w:val="20"/>
                <w:u w:val="none"/>
                <w:lang w:val="en-US" w:eastAsia="zh-CN" w:bidi="ar"/>
              </w:rPr>
              <w:t>专用的麻醉教学软件，方便刚接触超声的麻醉医生能快速提升超声业务水平。</w:t>
            </w:r>
          </w:p>
        </w:tc>
      </w:tr>
    </w:tbl>
    <w:p w14:paraId="214A754E">
      <w:pPr>
        <w:keepNext w:val="0"/>
        <w:keepLines w:val="0"/>
        <w:widowControl/>
        <w:numPr>
          <w:ilvl w:val="0"/>
          <w:numId w:val="0"/>
        </w:numPr>
        <w:suppressLineNumbers w:val="0"/>
        <w:ind w:leftChars="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注：表中的数量为暂定数量，后期根据医院实际情况可能会有调整。</w:t>
      </w:r>
    </w:p>
    <w:p w14:paraId="4E907732">
      <w:pPr>
        <w:spacing w:line="360" w:lineRule="exact"/>
        <w:rPr>
          <w:rFonts w:hint="eastAsia" w:ascii="宋体" w:cs="宋体"/>
          <w:color w:val="auto"/>
          <w:sz w:val="28"/>
          <w:szCs w:val="28"/>
        </w:rPr>
      </w:pPr>
    </w:p>
    <w:p w14:paraId="50F67D29">
      <w:pPr>
        <w:spacing w:line="360" w:lineRule="exact"/>
        <w:rPr>
          <w:rFonts w:hint="eastAsia" w:ascii="宋体" w:cs="宋体"/>
          <w:color w:val="auto"/>
          <w:sz w:val="28"/>
          <w:szCs w:val="28"/>
        </w:rPr>
      </w:pPr>
    </w:p>
    <w:p w14:paraId="5F5DFE42">
      <w:pPr>
        <w:spacing w:line="360" w:lineRule="exact"/>
        <w:rPr>
          <w:rFonts w:hint="eastAsia" w:ascii="宋体" w:cs="宋体"/>
          <w:color w:val="auto"/>
          <w:sz w:val="28"/>
          <w:szCs w:val="28"/>
        </w:rPr>
      </w:pPr>
    </w:p>
    <w:p w14:paraId="646F5BBE">
      <w:pPr>
        <w:spacing w:line="360" w:lineRule="exact"/>
        <w:rPr>
          <w:rFonts w:hint="eastAsia" w:ascii="宋体" w:cs="宋体"/>
          <w:color w:val="auto"/>
          <w:sz w:val="28"/>
          <w:szCs w:val="28"/>
        </w:rPr>
      </w:pPr>
    </w:p>
    <w:p w14:paraId="3009ED2C">
      <w:pPr>
        <w:spacing w:line="360" w:lineRule="exact"/>
        <w:rPr>
          <w:rFonts w:hint="eastAsia" w:ascii="宋体" w:cs="宋体"/>
          <w:color w:val="auto"/>
          <w:sz w:val="28"/>
          <w:szCs w:val="28"/>
        </w:rPr>
      </w:pPr>
    </w:p>
    <w:p w14:paraId="0F18614A">
      <w:pPr>
        <w:spacing w:line="360" w:lineRule="exact"/>
        <w:rPr>
          <w:rFonts w:hint="eastAsia" w:ascii="宋体" w:cs="宋体"/>
          <w:color w:val="auto"/>
          <w:sz w:val="28"/>
          <w:szCs w:val="28"/>
        </w:rPr>
      </w:pPr>
    </w:p>
    <w:p w14:paraId="3CD09C5C">
      <w:pPr>
        <w:spacing w:line="360" w:lineRule="exact"/>
        <w:rPr>
          <w:rFonts w:hint="eastAsia" w:ascii="宋体" w:cs="宋体"/>
          <w:color w:val="auto"/>
          <w:sz w:val="28"/>
          <w:szCs w:val="28"/>
        </w:rPr>
      </w:pPr>
    </w:p>
    <w:p w14:paraId="7BB12384">
      <w:pPr>
        <w:spacing w:line="360" w:lineRule="exact"/>
        <w:rPr>
          <w:rFonts w:hint="eastAsia" w:ascii="宋体" w:cs="宋体"/>
          <w:color w:val="auto"/>
          <w:sz w:val="28"/>
          <w:szCs w:val="28"/>
        </w:rPr>
      </w:pPr>
    </w:p>
    <w:p w14:paraId="1F73F160">
      <w:pPr>
        <w:spacing w:line="360" w:lineRule="exact"/>
        <w:rPr>
          <w:rFonts w:hint="eastAsia" w:ascii="宋体" w:cs="宋体"/>
          <w:color w:val="auto"/>
          <w:sz w:val="28"/>
          <w:szCs w:val="28"/>
        </w:rPr>
      </w:pPr>
      <w:bookmarkStart w:id="0" w:name="_GoBack"/>
      <w:bookmarkEnd w:id="0"/>
    </w:p>
    <w:p w14:paraId="703F8F85">
      <w:pPr>
        <w:spacing w:line="360" w:lineRule="exact"/>
        <w:rPr>
          <w:rFonts w:hint="eastAsia" w:ascii="宋体" w:cs="宋体"/>
          <w:color w:val="auto"/>
          <w:sz w:val="28"/>
          <w:szCs w:val="28"/>
        </w:rPr>
      </w:pPr>
    </w:p>
    <w:p w14:paraId="6DEC795F">
      <w:pPr>
        <w:spacing w:line="360" w:lineRule="exact"/>
        <w:rPr>
          <w:rFonts w:hint="eastAsia" w:ascii="宋体" w:cs="宋体"/>
          <w:color w:val="auto"/>
          <w:sz w:val="28"/>
          <w:szCs w:val="28"/>
        </w:rPr>
      </w:pPr>
    </w:p>
    <w:p w14:paraId="34A10973">
      <w:pPr>
        <w:spacing w:line="360" w:lineRule="exact"/>
        <w:rPr>
          <w:rFonts w:hint="eastAsia" w:ascii="宋体" w:cs="宋体"/>
          <w:color w:val="auto"/>
          <w:sz w:val="28"/>
          <w:szCs w:val="28"/>
        </w:rPr>
      </w:pPr>
    </w:p>
    <w:p w14:paraId="0BB56EE8">
      <w:pPr>
        <w:spacing w:line="360" w:lineRule="exact"/>
        <w:rPr>
          <w:rFonts w:hint="eastAsia" w:ascii="宋体" w:cs="宋体"/>
          <w:color w:val="auto"/>
          <w:sz w:val="28"/>
          <w:szCs w:val="28"/>
        </w:rPr>
      </w:pPr>
    </w:p>
    <w:p w14:paraId="2D39C5E6">
      <w:pPr>
        <w:spacing w:line="360" w:lineRule="exact"/>
        <w:rPr>
          <w:rFonts w:hint="eastAsia" w:ascii="宋体" w:cs="宋体"/>
          <w:color w:val="auto"/>
          <w:sz w:val="28"/>
          <w:szCs w:val="28"/>
        </w:rPr>
      </w:pPr>
    </w:p>
    <w:p w14:paraId="3CAB49D4">
      <w:pPr>
        <w:spacing w:line="360" w:lineRule="exact"/>
        <w:rPr>
          <w:rFonts w:hint="eastAsia" w:ascii="宋体" w:cs="宋体"/>
          <w:color w:val="auto"/>
          <w:sz w:val="28"/>
          <w:szCs w:val="28"/>
        </w:rPr>
      </w:pPr>
    </w:p>
    <w:p w14:paraId="3F9EE303">
      <w:pPr>
        <w:spacing w:line="360" w:lineRule="exact"/>
        <w:rPr>
          <w:rFonts w:hint="eastAsia" w:ascii="宋体" w:cs="宋体"/>
          <w:color w:val="auto"/>
          <w:sz w:val="28"/>
          <w:szCs w:val="28"/>
        </w:rPr>
      </w:pPr>
    </w:p>
    <w:p w14:paraId="5B672EFA">
      <w:pPr>
        <w:spacing w:line="360" w:lineRule="exact"/>
        <w:rPr>
          <w:rFonts w:hint="eastAsia" w:ascii="宋体" w:cs="宋体"/>
          <w:color w:val="auto"/>
          <w:sz w:val="28"/>
          <w:szCs w:val="28"/>
        </w:rPr>
      </w:pPr>
    </w:p>
    <w:p w14:paraId="4116F360">
      <w:pPr>
        <w:spacing w:line="360" w:lineRule="exact"/>
        <w:rPr>
          <w:rFonts w:hint="eastAsia" w:ascii="宋体" w:cs="宋体"/>
          <w:color w:val="auto"/>
          <w:sz w:val="28"/>
          <w:szCs w:val="28"/>
        </w:rPr>
      </w:pPr>
    </w:p>
    <w:p w14:paraId="5C68277A">
      <w:pPr>
        <w:spacing w:line="360" w:lineRule="exact"/>
        <w:rPr>
          <w:rFonts w:hint="eastAsia" w:ascii="宋体" w:cs="宋体"/>
          <w:color w:val="auto"/>
          <w:sz w:val="28"/>
          <w:szCs w:val="28"/>
        </w:rPr>
      </w:pPr>
    </w:p>
    <w:p w14:paraId="22BB3D6F">
      <w:pPr>
        <w:spacing w:line="360" w:lineRule="exact"/>
        <w:rPr>
          <w:rFonts w:hint="eastAsia" w:ascii="宋体" w:cs="宋体"/>
          <w:color w:val="auto"/>
          <w:sz w:val="28"/>
          <w:szCs w:val="28"/>
        </w:rPr>
      </w:pPr>
    </w:p>
    <w:p w14:paraId="5001B25B">
      <w:pPr>
        <w:spacing w:line="360" w:lineRule="exact"/>
        <w:rPr>
          <w:rFonts w:hint="eastAsia" w:ascii="宋体" w:cs="宋体"/>
          <w:color w:val="auto"/>
          <w:sz w:val="28"/>
          <w:szCs w:val="28"/>
        </w:rPr>
      </w:pPr>
    </w:p>
    <w:p w14:paraId="1889EAA5">
      <w:pPr>
        <w:spacing w:line="360" w:lineRule="exact"/>
        <w:rPr>
          <w:rFonts w:hint="eastAsia" w:ascii="宋体" w:cs="宋体"/>
          <w:color w:val="auto"/>
          <w:sz w:val="28"/>
          <w:szCs w:val="28"/>
        </w:r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AE71E"/>
    <w:multiLevelType w:val="singleLevel"/>
    <w:tmpl w:val="8DFAE71E"/>
    <w:lvl w:ilvl="0" w:tentative="0">
      <w:start w:val="1"/>
      <w:numFmt w:val="chineseCounting"/>
      <w:suff w:val="nothing"/>
      <w:lvlText w:val="%1、"/>
      <w:lvlJc w:val="left"/>
      <w:rPr>
        <w:rFonts w:hint="eastAsia"/>
      </w:rPr>
    </w:lvl>
  </w:abstractNum>
  <w:abstractNum w:abstractNumId="1">
    <w:nsid w:val="39EFC673"/>
    <w:multiLevelType w:val="singleLevel"/>
    <w:tmpl w:val="39EFC673"/>
    <w:lvl w:ilvl="0" w:tentative="0">
      <w:start w:val="1"/>
      <w:numFmt w:val="decimal"/>
      <w:suff w:val="space"/>
      <w:lvlText w:val="%1."/>
      <w:lvlJc w:val="left"/>
    </w:lvl>
  </w:abstractNum>
  <w:abstractNum w:abstractNumId="2">
    <w:nsid w:val="7E710874"/>
    <w:multiLevelType w:val="singleLevel"/>
    <w:tmpl w:val="7E710874"/>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3355D14"/>
    <w:rsid w:val="0E5678B5"/>
    <w:rsid w:val="0F184D44"/>
    <w:rsid w:val="10D45F6F"/>
    <w:rsid w:val="12465749"/>
    <w:rsid w:val="12A81E8D"/>
    <w:rsid w:val="16516E47"/>
    <w:rsid w:val="17374AE1"/>
    <w:rsid w:val="174436DA"/>
    <w:rsid w:val="18BD3736"/>
    <w:rsid w:val="18DB466A"/>
    <w:rsid w:val="196B620F"/>
    <w:rsid w:val="1C066DB3"/>
    <w:rsid w:val="1CD82254"/>
    <w:rsid w:val="1FCF2853"/>
    <w:rsid w:val="26A83CA1"/>
    <w:rsid w:val="2B974574"/>
    <w:rsid w:val="2DC453DC"/>
    <w:rsid w:val="32053535"/>
    <w:rsid w:val="37520E7E"/>
    <w:rsid w:val="378B2574"/>
    <w:rsid w:val="37A4408E"/>
    <w:rsid w:val="3C0108C9"/>
    <w:rsid w:val="3D2C2CDF"/>
    <w:rsid w:val="3D8D037A"/>
    <w:rsid w:val="3EDE5D28"/>
    <w:rsid w:val="40DB1473"/>
    <w:rsid w:val="430818BE"/>
    <w:rsid w:val="440077DF"/>
    <w:rsid w:val="494149DD"/>
    <w:rsid w:val="498B60BB"/>
    <w:rsid w:val="4A36557F"/>
    <w:rsid w:val="4B8D774A"/>
    <w:rsid w:val="4B9A35A1"/>
    <w:rsid w:val="4CF07536"/>
    <w:rsid w:val="4ECF272A"/>
    <w:rsid w:val="4F5148FF"/>
    <w:rsid w:val="51803FB6"/>
    <w:rsid w:val="52FB72E6"/>
    <w:rsid w:val="531F440B"/>
    <w:rsid w:val="550C0592"/>
    <w:rsid w:val="5A3B1222"/>
    <w:rsid w:val="5A936194"/>
    <w:rsid w:val="5B1C12B7"/>
    <w:rsid w:val="5D3018E6"/>
    <w:rsid w:val="5E775B46"/>
    <w:rsid w:val="60A76871"/>
    <w:rsid w:val="60D35D80"/>
    <w:rsid w:val="615221A2"/>
    <w:rsid w:val="658F5D7C"/>
    <w:rsid w:val="66E7169E"/>
    <w:rsid w:val="68E1689C"/>
    <w:rsid w:val="69473488"/>
    <w:rsid w:val="6D9051A0"/>
    <w:rsid w:val="6E910879"/>
    <w:rsid w:val="71520337"/>
    <w:rsid w:val="727965D5"/>
    <w:rsid w:val="729779B7"/>
    <w:rsid w:val="742F4D82"/>
    <w:rsid w:val="74B7706A"/>
    <w:rsid w:val="7833580C"/>
    <w:rsid w:val="7CCC2DD8"/>
    <w:rsid w:val="7D753F92"/>
    <w:rsid w:val="7ED86587"/>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24</Pages>
  <Words>15280</Words>
  <Characters>16588</Characters>
  <Lines>1189</Lines>
  <Paragraphs>516</Paragraphs>
  <TotalTime>47</TotalTime>
  <ScaleCrop>false</ScaleCrop>
  <LinksUpToDate>false</LinksUpToDate>
  <CharactersWithSpaces>17089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2026-09-02T04:58:25Z</cp:lastPrinted>
  <dcterms:modified xsi:type="dcterms:W3CDTF">2026-09-02T05:00:24Z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2052-12.1.0.28505</vt:lpwstr>
  </property>
  <property fmtid="{D5CDD505-2E9C-101B-9397-08002B2CF9AE}" pid="4" name="ICV">
    <vt:lpwstr>E442AF54B2284A07900852FAB7636EE4_12</vt:lpwstr>
  </property>
</Properties>
</file>