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2EA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石家庄市人民医院</w:t>
      </w:r>
    </w:p>
    <w:p w14:paraId="2480C48A"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更换消防水箱</w:t>
      </w:r>
      <w:r>
        <w:rPr>
          <w:rFonts w:hint="eastAsia" w:ascii="黑体" w:hAnsi="黑体" w:eastAsia="黑体"/>
          <w:sz w:val="44"/>
          <w:szCs w:val="44"/>
        </w:rPr>
        <w:t>征集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供应商</w:t>
      </w:r>
      <w:r>
        <w:rPr>
          <w:rFonts w:hint="eastAsia" w:ascii="黑体" w:hAnsi="黑体" w:eastAsia="黑体"/>
          <w:sz w:val="44"/>
          <w:szCs w:val="44"/>
        </w:rPr>
        <w:t>通知</w:t>
      </w:r>
    </w:p>
    <w:p w14:paraId="7622E153">
      <w:pPr>
        <w:spacing w:line="520" w:lineRule="exact"/>
      </w:pPr>
    </w:p>
    <w:p w14:paraId="5FA3EE2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医院安全生产工作方针，现</w:t>
      </w:r>
      <w:r>
        <w:rPr>
          <w:rFonts w:hint="eastAsia" w:ascii="仿宋" w:hAnsi="仿宋" w:eastAsia="仿宋"/>
          <w:sz w:val="28"/>
          <w:szCs w:val="28"/>
        </w:rPr>
        <w:t>需对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石家庄市人民医院</w:t>
      </w:r>
      <w:r>
        <w:rPr>
          <w:rFonts w:hint="eastAsia" w:ascii="仿宋" w:hAnsi="仿宋" w:eastAsia="仿宋"/>
          <w:sz w:val="28"/>
          <w:szCs w:val="28"/>
        </w:rPr>
        <w:t>方北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院区更换脑科楼顶消防水箱事件征集供应商，请有意向参加并且有此类资质的单位参加竞标，</w:t>
      </w:r>
      <w:r>
        <w:rPr>
          <w:rFonts w:hint="eastAsia" w:ascii="仿宋" w:hAnsi="仿宋" w:eastAsia="仿宋"/>
          <w:sz w:val="28"/>
          <w:szCs w:val="28"/>
        </w:rPr>
        <w:t>服务内容如下:</w:t>
      </w:r>
    </w:p>
    <w:p w14:paraId="6B5FA9F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有意向的公司需按以下资料准备并报名：</w:t>
      </w:r>
    </w:p>
    <w:p w14:paraId="03603C2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1、公司资质：具有相关业务经营范围，有效的营业执照，组织机构代码证，税务登记证(三证合一只需提供营业执照)，中小微企业声明函。</w:t>
      </w:r>
    </w:p>
    <w:p w14:paraId="44ECD80D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14:paraId="35E578A0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水箱尺寸详见附件</w:t>
      </w:r>
    </w:p>
    <w:p w14:paraId="43560D85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以上资料，扫描电子版后发送至 srmyyhqbzb@126.com。</w:t>
      </w:r>
    </w:p>
    <w:p w14:paraId="4CF05C33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冉老师18033710147</w:t>
      </w:r>
    </w:p>
    <w:p w14:paraId="1D29369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报名截止时间：202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12</w:t>
      </w:r>
      <w:r>
        <w:rPr>
          <w:rFonts w:hint="eastAsia" w:ascii="仿宋" w:hAnsi="仿宋" w:eastAsia="仿宋"/>
          <w:sz w:val="28"/>
          <w:szCs w:val="28"/>
        </w:rPr>
        <w:t>日16:30</w:t>
      </w:r>
      <w:bookmarkStart w:id="0" w:name="_GoBack"/>
      <w:bookmarkEnd w:id="0"/>
    </w:p>
    <w:p w14:paraId="31438008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53A27E64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总务科</w:t>
      </w:r>
    </w:p>
    <w:p w14:paraId="42FE569A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D574EE4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03EEBD88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66F6C49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966CFE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8C8437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6960F31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D7D0DD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3C1DBCA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E8644B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69F53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A6CE44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W w:w="7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8"/>
      </w:tblGrid>
      <w:tr w14:paraId="3144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607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水箱规格：30m³（4*3*2.5）</w:t>
            </w:r>
          </w:p>
        </w:tc>
      </w:tr>
      <w:tr w14:paraId="7322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03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材质标准：304不锈钢、2mm厚、内衬加强筋、槽钢底座</w:t>
            </w:r>
          </w:p>
        </w:tc>
      </w:tr>
      <w:tr w14:paraId="294F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9E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配件及安装：法兰、液位器、管道安装+试压</w:t>
            </w:r>
          </w:p>
        </w:tc>
      </w:tr>
      <w:tr w14:paraId="2F6E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A2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拆除旧水箱：原尺寸38m³</w:t>
            </w:r>
          </w:p>
        </w:tc>
      </w:tr>
      <w:tr w14:paraId="4C8C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F9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水箱位置：位于17楼楼顶，有电梯</w:t>
            </w:r>
          </w:p>
        </w:tc>
      </w:tr>
    </w:tbl>
    <w:p w14:paraId="5056867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086CC8C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63C7EE6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142E7E6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9BCBD7F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74D3A2D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0"/>
    <w:rsid w:val="00085D99"/>
    <w:rsid w:val="0013615C"/>
    <w:rsid w:val="00167D15"/>
    <w:rsid w:val="00174BAE"/>
    <w:rsid w:val="001B4872"/>
    <w:rsid w:val="001F2737"/>
    <w:rsid w:val="00212888"/>
    <w:rsid w:val="0021664E"/>
    <w:rsid w:val="002248CD"/>
    <w:rsid w:val="00234F09"/>
    <w:rsid w:val="00257C85"/>
    <w:rsid w:val="002A1594"/>
    <w:rsid w:val="00311860"/>
    <w:rsid w:val="00313810"/>
    <w:rsid w:val="00362F9F"/>
    <w:rsid w:val="003A7E41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8213D"/>
    <w:rsid w:val="005949B2"/>
    <w:rsid w:val="005E1E66"/>
    <w:rsid w:val="00603C2E"/>
    <w:rsid w:val="006321DC"/>
    <w:rsid w:val="00737D6F"/>
    <w:rsid w:val="00742C4E"/>
    <w:rsid w:val="00793B97"/>
    <w:rsid w:val="007A49AB"/>
    <w:rsid w:val="007A797F"/>
    <w:rsid w:val="007C16F3"/>
    <w:rsid w:val="008244FE"/>
    <w:rsid w:val="0084108F"/>
    <w:rsid w:val="00854F13"/>
    <w:rsid w:val="0086374A"/>
    <w:rsid w:val="009363BE"/>
    <w:rsid w:val="00957A49"/>
    <w:rsid w:val="00977EB5"/>
    <w:rsid w:val="00992102"/>
    <w:rsid w:val="009A3FA4"/>
    <w:rsid w:val="009C58EB"/>
    <w:rsid w:val="00A36D70"/>
    <w:rsid w:val="00A57AD0"/>
    <w:rsid w:val="00A87823"/>
    <w:rsid w:val="00A93974"/>
    <w:rsid w:val="00AD25DA"/>
    <w:rsid w:val="00AD5DDC"/>
    <w:rsid w:val="00B1033C"/>
    <w:rsid w:val="00B44651"/>
    <w:rsid w:val="00BC57FC"/>
    <w:rsid w:val="00BF2EE8"/>
    <w:rsid w:val="00CA1372"/>
    <w:rsid w:val="00CC2FB2"/>
    <w:rsid w:val="00CF2633"/>
    <w:rsid w:val="00D02D16"/>
    <w:rsid w:val="00D16320"/>
    <w:rsid w:val="00D249BB"/>
    <w:rsid w:val="00D25869"/>
    <w:rsid w:val="00D751E0"/>
    <w:rsid w:val="00D92218"/>
    <w:rsid w:val="00DF028E"/>
    <w:rsid w:val="00E00095"/>
    <w:rsid w:val="00E21916"/>
    <w:rsid w:val="00EC7697"/>
    <w:rsid w:val="00EC7883"/>
    <w:rsid w:val="00ED0B7A"/>
    <w:rsid w:val="00F83105"/>
    <w:rsid w:val="00F96D7E"/>
    <w:rsid w:val="00FE38BC"/>
    <w:rsid w:val="2AB60CD7"/>
    <w:rsid w:val="3D8F2D0E"/>
    <w:rsid w:val="44745B24"/>
    <w:rsid w:val="452C6880"/>
    <w:rsid w:val="4F743AB6"/>
    <w:rsid w:val="56C836F9"/>
    <w:rsid w:val="6640078C"/>
    <w:rsid w:val="6B896A79"/>
    <w:rsid w:val="7063067F"/>
    <w:rsid w:val="799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288</Words>
  <Characters>327</Characters>
  <Lines>3</Lines>
  <Paragraphs>1</Paragraphs>
  <TotalTime>1412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shendu</dc:creator>
  <cp:lastModifiedBy>养乐多</cp:lastModifiedBy>
  <cp:lastPrinted>2024-12-18T06:43:00Z</cp:lastPrinted>
  <dcterms:modified xsi:type="dcterms:W3CDTF">2025-06-10T09:58:13Z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3FE07C116E9A40E7BE49D036623B39D3_13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