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eastAsia="仿宋_GB2312"/>
          <w:b/>
          <w:bCs/>
          <w:sz w:val="36"/>
          <w:szCs w:val="36"/>
          <w:lang w:val="en-US" w:eastAsia="zh-CN"/>
        </w:rPr>
        <w:t>关于征集</w:t>
      </w:r>
      <w:bookmarkStart w:id="0" w:name="_GoBack"/>
      <w:r>
        <w:rPr>
          <w:rFonts w:hint="eastAsia" w:eastAsia="仿宋_GB2312"/>
          <w:b/>
          <w:bCs/>
          <w:sz w:val="36"/>
          <w:szCs w:val="36"/>
          <w:lang w:val="en-US" w:eastAsia="zh-CN"/>
        </w:rPr>
        <w:t>购</w:t>
      </w:r>
      <w:r>
        <w:rPr>
          <w:rFonts w:hint="eastAsia" w:eastAsia="仿宋_GB2312"/>
          <w:b/>
          <w:bCs/>
          <w:sz w:val="36"/>
          <w:szCs w:val="36"/>
          <w:lang w:val="en-US" w:eastAsia="zh-CN"/>
        </w:rPr>
        <w:t>置中国儿童生长发育智能评估与监测系统网络版</w:t>
      </w:r>
      <w:bookmarkEnd w:id="0"/>
      <w:r>
        <w:rPr>
          <w:rFonts w:hint="eastAsia" w:eastAsia="仿宋_GB2312"/>
          <w:b/>
          <w:bCs/>
          <w:sz w:val="36"/>
          <w:szCs w:val="36"/>
          <w:lang w:val="en-US" w:eastAsia="zh-CN"/>
        </w:rPr>
        <w:t>供应商的通知</w:t>
      </w:r>
    </w:p>
    <w:p>
      <w:pPr>
        <w:spacing w:line="58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购置中国儿童生长发育智能评估与监测系统网络版，可多用户同时使用（并发5用户）。软件功能：</w:t>
      </w:r>
    </w:p>
    <w:p>
      <w:pPr>
        <w:spacing w:line="580" w:lineRule="exact"/>
        <w:ind w:firstLine="600" w:firstLineChars="200"/>
      </w:pPr>
      <w:r>
        <w:rPr>
          <w:rFonts w:hint="eastAsia" w:eastAsia="仿宋_GB2312"/>
          <w:sz w:val="30"/>
        </w:rPr>
        <w:t>1、人工智能自动读片</w:t>
      </w:r>
    </w:p>
    <w:p>
      <w:pPr>
        <w:spacing w:line="58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骨龄标准：《中国青少年儿童手腕骨成熟度及评价方法》TY/T 3001-2006简称《中华-05》。</w:t>
      </w:r>
    </w:p>
    <w:p>
      <w:pPr>
        <w:spacing w:line="58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出生时的生长学评价：评价出生时身长、体重和孕龄等生长学指标。</w:t>
      </w:r>
    </w:p>
    <w:p>
      <w:pPr>
        <w:spacing w:line="58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身高、体重和BMI标准：《中国0-18岁儿童青少年身高、体重标准化生长曲线》（2009年李辉等）。</w:t>
      </w:r>
    </w:p>
    <w:p>
      <w:pPr>
        <w:spacing w:line="58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2、以父母身高中值修正的身高百分位数</w:t>
      </w:r>
    </w:p>
    <w:p>
      <w:pPr>
        <w:spacing w:line="58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按骨龄评价的生长学指标：按骨龄的身高、体重和BMI。</w:t>
      </w:r>
    </w:p>
    <w:p>
      <w:pPr>
        <w:spacing w:line="58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3、第二性征评价</w:t>
      </w:r>
    </w:p>
    <w:p>
      <w:pPr>
        <w:spacing w:line="58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身高预测方法：用于正常儿童的中华05法、TW3法、投射法以及用于特纳综合症、软骨发育不全、特发性矮小和发育延迟儿童等疾病儿童的身高预测方法。</w:t>
      </w:r>
    </w:p>
    <w:p>
      <w:pPr>
        <w:spacing w:line="58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4、生长发育纵向监测</w:t>
      </w:r>
    </w:p>
    <w:p>
      <w:pPr>
        <w:spacing w:line="58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掌指骨模式分析：在某些遗传和内分泌疾病诊断具有应用价值。</w:t>
      </w:r>
    </w:p>
    <w:p>
      <w:pPr>
        <w:spacing w:line="58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5、手腕骨发育异常评价</w:t>
      </w:r>
    </w:p>
    <w:p>
      <w:pPr>
        <w:spacing w:line="58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矮身高儿童治疗过程中生长反应预测：帮助医师制定个体化和最优化治疗方案。</w:t>
      </w:r>
    </w:p>
    <w:p>
      <w:pPr>
        <w:spacing w:line="58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6、骨发育等级自学教程。</w:t>
      </w:r>
    </w:p>
    <w:p>
      <w:pPr>
        <w:spacing w:line="58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7、骨龄读片练习功能。</w:t>
      </w:r>
    </w:p>
    <w:p>
      <w:pPr>
        <w:tabs>
          <w:tab w:val="left" w:pos="312"/>
        </w:tabs>
        <w:ind w:firstLine="600" w:firstLineChars="2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8、骨龄读片可靠性检验功能。</w:t>
      </w:r>
    </w:p>
    <w:p>
      <w:pPr>
        <w:tabs>
          <w:tab w:val="left" w:pos="312"/>
        </w:tabs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报名需提供：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1．营业执照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2．生产商或代理商对业务员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</w:rPr>
        <w:t>授权书（法定代表人参加的，提供法定代表人居民身份证复印件；法定代表人授权人参加的，提供法定代表人居民身份证复印件、法定代表人授权书及被授权人居民身份证复印件）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系统功能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4.产品相关资料、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kern w:val="0"/>
          <w:sz w:val="32"/>
          <w:szCs w:val="32"/>
        </w:rPr>
        <w:t>业绩、售后服务等。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376092" w:themeColor="accent1" w:themeShade="BF"/>
          <w:sz w:val="32"/>
          <w:szCs w:val="32"/>
          <w:u w:val="single"/>
          <w:lang w:val="en-US" w:eastAsia="zh-CN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请</w:t>
      </w: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"mailto:将上述材料加盖公章后的电子版发至邮箱sjzsrmyyxxzxht@163.com。写明厂家名称和联系人信息。" </w:instrText>
      </w: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将上述材料加盖公章后的电子版以附件形式发至邮箱sjzsrmyyxxzxht@163.com。正文写明供应商（厂商）名称和联系人信息。</w:t>
      </w: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（截止时间前）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另将上述材料</w:t>
      </w:r>
      <w:r>
        <w:rPr>
          <w:rFonts w:hint="eastAsia" w:ascii="仿宋" w:hAnsi="仿宋" w:eastAsia="仿宋" w:cs="仿宋"/>
          <w:kern w:val="0"/>
          <w:sz w:val="32"/>
          <w:szCs w:val="32"/>
        </w:rPr>
        <w:t>加上封皮及目录胶装成册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以及报价一览表（见附件1）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，加盖公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章，询价演示会时带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会议现场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具体演示时间及地点电话通知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截止时间：2022年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17：00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报名地址：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石家庄市人民医院建华院区门诊五楼信息科</w:t>
      </w:r>
    </w:p>
    <w:p>
      <w:pPr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联系电话：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0311-69088066</w:t>
      </w:r>
    </w:p>
    <w:p>
      <w:pPr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               </w:t>
      </w:r>
    </w:p>
    <w:p>
      <w:pPr>
        <w:ind w:firstLine="4800" w:firstLineChars="15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石家庄市人民医院</w:t>
      </w:r>
    </w:p>
    <w:p>
      <w:pPr>
        <w:ind w:firstLine="4960" w:firstLineChars="15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2022年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</w:p>
    <w:tbl>
      <w:tblPr>
        <w:tblStyle w:val="6"/>
        <w:tblW w:w="8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785"/>
        <w:gridCol w:w="2220"/>
        <w:gridCol w:w="138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系统名称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功能模块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具体功能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35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20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20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20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20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注：表格不够可自行添加。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供应商（公章）：__________________________________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法定代表人或其委托代理人(签字或印章）：___________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/>
          <w:sz w:val="24"/>
          <w:szCs w:val="24"/>
          <w:lang w:val="en-US" w:eastAsia="zh-CN"/>
        </w:rPr>
        <w:t>________年____月___日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hint="eastAsia" w:eastAsia="仿宋_GB2312"/>
          <w:sz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ZGVjN2NiMDM2NzJmNmY4Y2IzZGQwYTIwM2VjMmMifQ=="/>
  </w:docVars>
  <w:rsids>
    <w:rsidRoot w:val="00F52E67"/>
    <w:rsid w:val="00172441"/>
    <w:rsid w:val="00F52E67"/>
    <w:rsid w:val="09424A96"/>
    <w:rsid w:val="190B1AB6"/>
    <w:rsid w:val="1F43795A"/>
    <w:rsid w:val="2931309E"/>
    <w:rsid w:val="2F077175"/>
    <w:rsid w:val="44226CC2"/>
    <w:rsid w:val="53895131"/>
    <w:rsid w:val="5C8A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578</Words>
  <Characters>679</Characters>
  <Lines>1</Lines>
  <Paragraphs>1</Paragraphs>
  <TotalTime>2</TotalTime>
  <ScaleCrop>false</ScaleCrop>
  <LinksUpToDate>false</LinksUpToDate>
  <CharactersWithSpaces>695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2022-06-06T08:06:00Z</dcterms:created>
  <dc:creator>Cherry</dc:creator>
  <cp:lastModifiedBy>lenovo</cp:lastModifiedBy>
  <dcterms:modified xsi:type="dcterms:W3CDTF">2022-06-06T08:41:59Z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7F10E1C336954FCDADA1D0DA83F7E15D</vt:lpwstr>
  </property>
</Properties>
</file>