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</w:t>
      </w: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网络数字精准康复管理与康复评估系统</w:t>
      </w:r>
      <w:bookmarkEnd w:id="0"/>
    </w:p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供应商的通知</w:t>
      </w:r>
    </w:p>
    <w:p>
      <w:pPr>
        <w:ind w:firstLine="600" w:firstLineChars="200"/>
      </w:pPr>
      <w:r>
        <w:rPr>
          <w:rFonts w:hint="eastAsia" w:eastAsia="仿宋_GB2312"/>
          <w:sz w:val="30"/>
        </w:rPr>
        <w:t>拟购置网络数字精准康复管理与康复评估系统一套，其主要功能是康复治疗师时间、工作量管理，康复病历评估数据化、数字化、自动化管理，康复治疗转介信息化管理，康复设备使用管理，患者康复治疗管理精细化、精准化，康复治疗费用管理，满足科主任远程管理以及满足河北省康复质控中心、石家庄市康复质控的需要等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F43795A"/>
    <w:rsid w:val="2931309E"/>
    <w:rsid w:val="2F077175"/>
    <w:rsid w:val="44226CC2"/>
    <w:rsid w:val="4BF67E13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1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7BF8D492041644C88C171A61697387B1</vt:lpwstr>
  </property>
</Properties>
</file>