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</w:t>
      </w: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互联网医院</w:t>
      </w:r>
      <w:bookmarkEnd w:id="0"/>
      <w:r>
        <w:rPr>
          <w:rFonts w:hint="eastAsia" w:eastAsia="仿宋_GB2312"/>
          <w:b/>
          <w:bCs/>
          <w:sz w:val="36"/>
          <w:szCs w:val="36"/>
          <w:lang w:val="en-US" w:eastAsia="zh-CN"/>
        </w:rPr>
        <w:t>供应商的通知</w:t>
      </w:r>
    </w:p>
    <w:p>
      <w:pPr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以石家庄市人民医院为建设实体，充分发挥5G技术的高速率、低延迟的特色，通过“互联网+医疗”优化医疗资源配置，再造诊疗流程，实现院间数据互通；以互联网诊疗为核心业务，在保证信息安全的基础上，建立患者数据共享平台，实现院间协同工作；采取“医院主导、企业共建、区域联动、服务全城”的建设模式，充分发挥互联网的技术创新优势和资源整合能力，培养与引导患者线上就医习惯，从而为分级诊疗的落地提供重要技术支撑，并重构或优化实体医院的服务结构，共同开拓下级医疗机构资源和社会行业资源，为医院提供优质患者，为医生提供合法线上执业平台，最大程度缓解居民看病难、看病贵问题，同时促进互联网医药、商业保险、健康管理等第三方增值服务业务的发展。</w:t>
      </w:r>
    </w:p>
    <w:p>
      <w:pPr>
        <w:ind w:firstLine="600" w:firstLineChars="200"/>
        <w:rPr>
          <w:rFonts w:hint="eastAsia" w:eastAsia="仿宋_GB2312"/>
          <w:sz w:val="30"/>
        </w:rPr>
      </w:pP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76092" w:themeColor="accent1" w:themeShade="BF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00F52E67"/>
    <w:rsid w:val="00172441"/>
    <w:rsid w:val="00F52E67"/>
    <w:rsid w:val="09424A96"/>
    <w:rsid w:val="1F43795A"/>
    <w:rsid w:val="2779459F"/>
    <w:rsid w:val="2931309E"/>
    <w:rsid w:val="2F077175"/>
    <w:rsid w:val="44226CC2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679</Characters>
  <Lines>1</Lines>
  <Paragraphs>1</Paragraphs>
  <TotalTime>1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7F2D2ABD2D5D4110AE836CB3482C379E</vt:lpwstr>
  </property>
</Properties>
</file>